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6D" w:rsidRDefault="00D0626D" w:rsidP="00D0626D">
      <w:pPr>
        <w:jc w:val="right"/>
        <w:rPr>
          <w:b/>
        </w:rPr>
      </w:pPr>
      <w:r>
        <w:rPr>
          <w:b/>
          <w:noProof/>
          <w:lang w:eastAsia="fr-FR"/>
        </w:rPr>
        <w:drawing>
          <wp:inline distT="0" distB="0" distL="0" distR="0" wp14:anchorId="3B24AFC2" wp14:editId="09776FF5">
            <wp:extent cx="2804160" cy="876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seg_logo_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4160" cy="876300"/>
                    </a:xfrm>
                    <a:prstGeom prst="rect">
                      <a:avLst/>
                    </a:prstGeom>
                  </pic:spPr>
                </pic:pic>
              </a:graphicData>
            </a:graphic>
          </wp:inline>
        </w:drawing>
      </w:r>
    </w:p>
    <w:p w:rsidR="00D0626D" w:rsidRPr="00113DF9" w:rsidRDefault="00D0626D" w:rsidP="00D0626D">
      <w:pPr>
        <w:jc w:val="center"/>
        <w:rPr>
          <w:b/>
        </w:rPr>
      </w:pPr>
      <w:r w:rsidRPr="00113DF9">
        <w:rPr>
          <w:b/>
        </w:rPr>
        <w:t>Les reproches absurdes formulés</w:t>
      </w:r>
      <w:r>
        <w:rPr>
          <w:b/>
        </w:rPr>
        <w:t xml:space="preserve"> </w:t>
      </w:r>
      <w:r w:rsidRPr="00113DF9">
        <w:rPr>
          <w:b/>
        </w:rPr>
        <w:t xml:space="preserve">à </w:t>
      </w:r>
      <w:r>
        <w:rPr>
          <w:b/>
        </w:rPr>
        <w:t xml:space="preserve">la </w:t>
      </w:r>
      <w:r w:rsidRPr="00113DF9">
        <w:rPr>
          <w:b/>
        </w:rPr>
        <w:t xml:space="preserve">Banque de France et la BCE </w:t>
      </w:r>
      <w:r>
        <w:rPr>
          <w:b/>
        </w:rPr>
        <w:t>en Allemagne</w:t>
      </w:r>
    </w:p>
    <w:p w:rsidR="00D0626D" w:rsidRDefault="00D0626D" w:rsidP="00D0626D">
      <w:pPr>
        <w:jc w:val="center"/>
      </w:pPr>
      <w:r>
        <w:t>Eric Dor</w:t>
      </w:r>
    </w:p>
    <w:p w:rsidR="00D0626D" w:rsidRDefault="00D0626D" w:rsidP="00D0626D">
      <w:pPr>
        <w:jc w:val="center"/>
      </w:pPr>
      <w:r>
        <w:t xml:space="preserve">Directeur des Etudes Economiques à l’IESEG </w:t>
      </w:r>
      <w:proofErr w:type="spellStart"/>
      <w:r>
        <w:t>School</w:t>
      </w:r>
      <w:proofErr w:type="spellEnd"/>
      <w:r>
        <w:t xml:space="preserve"> of Management</w:t>
      </w:r>
    </w:p>
    <w:p w:rsidR="00D0626D" w:rsidRDefault="00D0626D" w:rsidP="00D0626D">
      <w:pPr>
        <w:jc w:val="center"/>
      </w:pPr>
      <w:r>
        <w:t>Décembre 2015</w:t>
      </w:r>
    </w:p>
    <w:p w:rsidR="00D0626D" w:rsidRDefault="00D0626D" w:rsidP="00D0626D">
      <w:pPr>
        <w:jc w:val="both"/>
        <w:rPr>
          <w:rFonts w:eastAsia="Times New Roman" w:cs="Times New Roman"/>
          <w:bCs/>
          <w:kern w:val="36"/>
          <w:lang w:eastAsia="fr-FR"/>
        </w:rPr>
      </w:pPr>
      <w:r>
        <w:t xml:space="preserve">Une partie de la presse internationale, </w:t>
      </w:r>
      <w:hyperlink r:id="rId5" w:history="1">
        <w:r w:rsidRPr="00005B03">
          <w:rPr>
            <w:rStyle w:val="Lienhypertexte"/>
          </w:rPr>
          <w:t>au départ de l’Allemagne</w:t>
        </w:r>
      </w:hyperlink>
      <w:r>
        <w:t>, s’est emparée d’une étude universitaire allemande qui prétend révéler que des achats massifs d’obligations publiques par les banques centrales de la zone euro auraient eu lieu de manière cachée bien avant que de telles acquisitions soient organisées et autorisées officiellement cette année dans le cadre du programme étendu d’achats d’actifs » ou assouplissement quantitatif.  Ainsi l’Agence Reuters titre « </w:t>
      </w:r>
      <w:hyperlink r:id="rId6" w:history="1">
        <w:r w:rsidRPr="00084091">
          <w:rPr>
            <w:rStyle w:val="Lienhypertexte"/>
            <w:rFonts w:eastAsia="Times New Roman" w:cs="Times New Roman"/>
            <w:bCs/>
            <w:kern w:val="36"/>
            <w:lang w:eastAsia="fr-FR"/>
          </w:rPr>
          <w:t>La planche à billets a tourné en zon</w:t>
        </w:r>
        <w:r w:rsidRPr="00084091">
          <w:rPr>
            <w:rStyle w:val="Lienhypertexte"/>
            <w:rFonts w:eastAsia="Times New Roman" w:cs="Times New Roman"/>
            <w:bCs/>
            <w:kern w:val="36"/>
            <w:lang w:eastAsia="fr-FR"/>
          </w:rPr>
          <w:t>e</w:t>
        </w:r>
        <w:r w:rsidRPr="00084091">
          <w:rPr>
            <w:rStyle w:val="Lienhypertexte"/>
            <w:rFonts w:eastAsia="Times New Roman" w:cs="Times New Roman"/>
            <w:bCs/>
            <w:kern w:val="36"/>
            <w:lang w:eastAsia="fr-FR"/>
          </w:rPr>
          <w:t xml:space="preserve"> euro bien avant le QE</w:t>
        </w:r>
      </w:hyperlink>
      <w:r>
        <w:rPr>
          <w:rFonts w:eastAsia="Times New Roman" w:cs="Times New Roman"/>
          <w:bCs/>
          <w:kern w:val="36"/>
          <w:lang w:eastAsia="fr-FR"/>
        </w:rPr>
        <w:t xml:space="preserve"> » et cette dépêche circule dans toutes les langues.  La Banque de France et quelques autres banques centrales nationales de la zone euro sont concernées. Le ton est donné, il y aurait eu un </w:t>
      </w:r>
      <w:hyperlink r:id="rId7" w:history="1">
        <w:r w:rsidRPr="00005B03">
          <w:rPr>
            <w:rStyle w:val="Lienhypertexte"/>
            <w:rFonts w:eastAsia="Times New Roman" w:cs="Times New Roman"/>
            <w:bCs/>
            <w:kern w:val="36"/>
            <w:lang w:eastAsia="fr-FR"/>
          </w:rPr>
          <w:t>financement monétaire caché de la dette publique</w:t>
        </w:r>
      </w:hyperlink>
      <w:r>
        <w:rPr>
          <w:rFonts w:eastAsia="Times New Roman" w:cs="Times New Roman"/>
          <w:bCs/>
          <w:kern w:val="36"/>
          <w:lang w:eastAsia="fr-FR"/>
        </w:rPr>
        <w:t xml:space="preserve"> de quelques pays de la zone euro ! </w:t>
      </w:r>
    </w:p>
    <w:p w:rsidR="00D0626D" w:rsidRDefault="00D0626D" w:rsidP="00D0626D">
      <w:pPr>
        <w:jc w:val="both"/>
        <w:rPr>
          <w:rFonts w:eastAsia="Times New Roman" w:cs="Times New Roman"/>
          <w:bCs/>
          <w:kern w:val="36"/>
          <w:lang w:eastAsia="fr-FR"/>
        </w:rPr>
      </w:pPr>
      <w:r>
        <w:t xml:space="preserve">Ces acquisitions prétendument suspectes sont également différentes des achats limités de dette publique de quelques pays en détresse par toutes les banques centrales nationales sur le marché secondaire, qui avaient été organisés officiellement dans le cadre du Securities </w:t>
      </w:r>
      <w:proofErr w:type="spellStart"/>
      <w:r>
        <w:t>Market</w:t>
      </w:r>
      <w:proofErr w:type="spellEnd"/>
      <w:r>
        <w:t xml:space="preserve"> Programme ou SMP de la BCE de mai 2010 à septembre 2012. </w:t>
      </w:r>
      <w:r>
        <w:rPr>
          <w:rFonts w:eastAsia="Times New Roman" w:cs="Times New Roman"/>
          <w:bCs/>
          <w:kern w:val="36"/>
          <w:lang w:eastAsia="fr-FR"/>
        </w:rPr>
        <w:t>La banque de France et quelques autres banques centrales nationales de l’</w:t>
      </w:r>
      <w:proofErr w:type="spellStart"/>
      <w:r>
        <w:rPr>
          <w:rFonts w:eastAsia="Times New Roman" w:cs="Times New Roman"/>
          <w:bCs/>
          <w:kern w:val="36"/>
          <w:lang w:eastAsia="fr-FR"/>
        </w:rPr>
        <w:t>Eurosystème</w:t>
      </w:r>
      <w:proofErr w:type="spellEnd"/>
      <w:r>
        <w:rPr>
          <w:rFonts w:eastAsia="Times New Roman" w:cs="Times New Roman"/>
          <w:bCs/>
          <w:kern w:val="36"/>
          <w:lang w:eastAsia="fr-FR"/>
        </w:rPr>
        <w:t xml:space="preserve"> sont ainsi accusées d’avoir acheté des obligations publiques de pays de la zone euro de manière cachée, hors de tout programme officiel d’achat de tels titres, et la BCE l’aurait toléré, et outrepassé son mandat. </w:t>
      </w:r>
    </w:p>
    <w:p w:rsidR="00D0626D" w:rsidRPr="00264C41" w:rsidRDefault="00D0626D" w:rsidP="00D0626D">
      <w:pPr>
        <w:jc w:val="both"/>
        <w:rPr>
          <w:b/>
        </w:rPr>
      </w:pPr>
      <w:r w:rsidRPr="00264C41">
        <w:rPr>
          <w:b/>
        </w:rPr>
        <w:t>Ces critiques sont absurdes et cette étude explique pourquoi.</w:t>
      </w:r>
    </w:p>
    <w:p w:rsidR="00D0626D" w:rsidRDefault="00D0626D" w:rsidP="00D0626D">
      <w:pPr>
        <w:jc w:val="both"/>
      </w:pPr>
      <w:r>
        <w:t>Depuis le lancement de l’euro, le bilan de la banque de France a toujours mentionné clairement l’existence, à l’actif de son bilan, de plusieurs catégories de « titres en euros émis par des résidents de la zone euro » : d’une part  des « titres détenus dans le cadre d’opérations de politique monétaire », et d’autre part des « autres titres ». De surcroît, le bilan de la banque de France a toujours aussi mentionné clairement l’existence à l’actif d’ « Autres actifs financiers en euros et en devises ».</w:t>
      </w:r>
    </w:p>
    <w:p w:rsidR="00D0626D" w:rsidRDefault="00D0626D" w:rsidP="00D0626D">
      <w:pPr>
        <w:jc w:val="both"/>
      </w:pPr>
      <w:r>
        <w:t xml:space="preserve">Au 31 décembre 2014, les « titres détenus dans le cadre d’opérations de politique monétaire » en euros s’élevaient à 42,483 milliards d’€ et les « autres titres » en euros à 78,557 milliards d’€. Les « Autres actifs financiers en euros et en devises » s’élevaient à 90,763 milliards d’€. </w:t>
      </w:r>
    </w:p>
    <w:p w:rsidR="00D0626D" w:rsidRPr="009E5DAF" w:rsidRDefault="00D0626D" w:rsidP="00D0626D">
      <w:pPr>
        <w:jc w:val="both"/>
        <w:rPr>
          <w:rStyle w:val="st"/>
          <w:b/>
        </w:rPr>
      </w:pPr>
      <w:r>
        <w:t>Les « </w:t>
      </w:r>
      <w:r w:rsidRPr="00447B3C">
        <w:rPr>
          <w:b/>
        </w:rPr>
        <w:t>titres détenus dans le cadre d’opérations de politique monétaire</w:t>
      </w:r>
      <w:r>
        <w:t> » contiennent des instruments financiers en euros qui ont été achetés par la Banque de France, comme membre de l’</w:t>
      </w:r>
      <w:proofErr w:type="spellStart"/>
      <w:r>
        <w:t>Eurosystème</w:t>
      </w:r>
      <w:proofErr w:type="spellEnd"/>
      <w:r>
        <w:t xml:space="preserve">, dans le cadre du programme SMP d’achat d’obligations publiques de pays en détresse de la zone euro, et des programmes d’achat d’obligations sécurisées CBPP1, CBPP2 et CBPP3. En 2015 ce poste </w:t>
      </w:r>
      <w:proofErr w:type="spellStart"/>
      <w:r>
        <w:t>bilantaire</w:t>
      </w:r>
      <w:proofErr w:type="spellEnd"/>
      <w:r>
        <w:t xml:space="preserve"> a fortement augmenté car on doit ajouter les achats du programme </w:t>
      </w:r>
      <w:r w:rsidRPr="00854DC8">
        <w:rPr>
          <w:rStyle w:val="Accentuation"/>
          <w:i w:val="0"/>
        </w:rPr>
        <w:t>étendu d'achats</w:t>
      </w:r>
      <w:r w:rsidRPr="00854DC8">
        <w:rPr>
          <w:rStyle w:val="st"/>
          <w:i/>
        </w:rPr>
        <w:t xml:space="preserve"> </w:t>
      </w:r>
      <w:r>
        <w:rPr>
          <w:rStyle w:val="st"/>
        </w:rPr>
        <w:t xml:space="preserve">d'actifs, appelé assouplissement quantitatif. Ce n’est qu’à partir de 2015 que cette rubrique contient des obligations publiques françaises. Avant les obligations publiques qu’elle contient ont été émises par des pays en détresse de la périphérie de la zone euro. </w:t>
      </w:r>
      <w:r w:rsidRPr="009E5DAF">
        <w:rPr>
          <w:rStyle w:val="st"/>
          <w:b/>
        </w:rPr>
        <w:t xml:space="preserve">Les obligations publiques de cette rubrique </w:t>
      </w:r>
      <w:r w:rsidRPr="009E5DAF">
        <w:rPr>
          <w:rStyle w:val="st"/>
          <w:b/>
        </w:rPr>
        <w:lastRenderedPageBreak/>
        <w:t>sont hors du cham</w:t>
      </w:r>
      <w:r>
        <w:rPr>
          <w:rStyle w:val="st"/>
          <w:b/>
        </w:rPr>
        <w:t>p</w:t>
      </w:r>
      <w:r w:rsidRPr="009E5DAF">
        <w:rPr>
          <w:rStyle w:val="st"/>
          <w:b/>
        </w:rPr>
        <w:t xml:space="preserve"> de la critique allemande </w:t>
      </w:r>
      <w:r>
        <w:rPr>
          <w:rStyle w:val="st"/>
          <w:b/>
        </w:rPr>
        <w:t xml:space="preserve">sur un prétendu financement monétaire caché </w:t>
      </w:r>
      <w:r w:rsidRPr="009E5DAF">
        <w:rPr>
          <w:rStyle w:val="st"/>
          <w:b/>
        </w:rPr>
        <w:t>car elles sont détenues en application de programmes officiels de la BCE.</w:t>
      </w:r>
    </w:p>
    <w:p w:rsidR="00D0626D" w:rsidRDefault="00D0626D" w:rsidP="00D0626D">
      <w:pPr>
        <w:jc w:val="center"/>
        <w:rPr>
          <w:b/>
        </w:rPr>
      </w:pPr>
      <w:r w:rsidRPr="009E5DAF">
        <w:rPr>
          <w:rStyle w:val="st"/>
          <w:b/>
        </w:rPr>
        <w:t xml:space="preserve">Rubrique 7.1 </w:t>
      </w:r>
      <w:r w:rsidRPr="009E5DAF">
        <w:rPr>
          <w:b/>
        </w:rPr>
        <w:t>titres détenus dans le cadre d’opérations de politique monétaire</w:t>
      </w:r>
    </w:p>
    <w:p w:rsidR="00D0626D" w:rsidRPr="009E5DAF" w:rsidRDefault="00D0626D" w:rsidP="00D0626D">
      <w:pPr>
        <w:jc w:val="center"/>
        <w:rPr>
          <w:b/>
        </w:rPr>
      </w:pPr>
      <w:r>
        <w:rPr>
          <w:b/>
        </w:rPr>
        <w:t>Milliards d’€</w:t>
      </w:r>
    </w:p>
    <w:tbl>
      <w:tblPr>
        <w:tblW w:w="2400" w:type="dxa"/>
        <w:jc w:val="center"/>
        <w:tblCellMar>
          <w:left w:w="70" w:type="dxa"/>
          <w:right w:w="70" w:type="dxa"/>
        </w:tblCellMar>
        <w:tblLook w:val="04A0" w:firstRow="1" w:lastRow="0" w:firstColumn="1" w:lastColumn="0" w:noHBand="0" w:noVBand="1"/>
      </w:tblPr>
      <w:tblGrid>
        <w:gridCol w:w="1200"/>
        <w:gridCol w:w="1200"/>
      </w:tblGrid>
      <w:tr w:rsidR="00D0626D" w:rsidRPr="00447B3C" w:rsidTr="0035687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2007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0626D" w:rsidRPr="00447B3C" w:rsidRDefault="00D0626D" w:rsidP="00356876">
            <w:pPr>
              <w:spacing w:after="0" w:line="240" w:lineRule="auto"/>
              <w:jc w:val="center"/>
              <w:rPr>
                <w:rFonts w:ascii="Calibri" w:eastAsia="Times New Roman" w:hAnsi="Calibri" w:cs="Times New Roman"/>
                <w:color w:val="000000"/>
                <w:lang w:eastAsia="fr-FR"/>
              </w:rPr>
            </w:pPr>
            <w:r w:rsidRPr="00447B3C">
              <w:rPr>
                <w:rFonts w:ascii="Calibri" w:eastAsia="Times New Roman" w:hAnsi="Calibri" w:cs="Times New Roman"/>
                <w:color w:val="000000"/>
                <w:lang w:eastAsia="fr-FR"/>
              </w:rPr>
              <w:t>-</w:t>
            </w:r>
          </w:p>
        </w:tc>
      </w:tr>
      <w:tr w:rsidR="00D0626D" w:rsidRPr="00447B3C"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2008</w:t>
            </w:r>
          </w:p>
        </w:tc>
        <w:tc>
          <w:tcPr>
            <w:tcW w:w="1200" w:type="dxa"/>
            <w:tcBorders>
              <w:top w:val="nil"/>
              <w:left w:val="nil"/>
              <w:bottom w:val="single" w:sz="4" w:space="0" w:color="auto"/>
              <w:right w:val="single" w:sz="4" w:space="0" w:color="auto"/>
            </w:tcBorders>
            <w:shd w:val="clear" w:color="auto" w:fill="auto"/>
            <w:noWrap/>
            <w:vAlign w:val="bottom"/>
            <w:hideMark/>
          </w:tcPr>
          <w:p w:rsidR="00D0626D" w:rsidRPr="00447B3C" w:rsidRDefault="00D0626D" w:rsidP="00356876">
            <w:pPr>
              <w:spacing w:after="0" w:line="240" w:lineRule="auto"/>
              <w:jc w:val="center"/>
              <w:rPr>
                <w:rFonts w:ascii="Calibri" w:eastAsia="Times New Roman" w:hAnsi="Calibri" w:cs="Times New Roman"/>
                <w:color w:val="000000"/>
                <w:lang w:eastAsia="fr-FR"/>
              </w:rPr>
            </w:pPr>
            <w:r w:rsidRPr="00447B3C">
              <w:rPr>
                <w:rFonts w:ascii="Calibri" w:eastAsia="Times New Roman" w:hAnsi="Calibri" w:cs="Times New Roman"/>
                <w:color w:val="000000"/>
                <w:lang w:eastAsia="fr-FR"/>
              </w:rPr>
              <w:t>-</w:t>
            </w:r>
          </w:p>
        </w:tc>
      </w:tr>
      <w:tr w:rsidR="00D0626D" w:rsidRPr="00447B3C"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2009</w:t>
            </w:r>
          </w:p>
        </w:tc>
        <w:tc>
          <w:tcPr>
            <w:tcW w:w="1200" w:type="dxa"/>
            <w:tcBorders>
              <w:top w:val="nil"/>
              <w:left w:val="nil"/>
              <w:bottom w:val="single" w:sz="4" w:space="0" w:color="auto"/>
              <w:right w:val="single" w:sz="4" w:space="0" w:color="auto"/>
            </w:tcBorders>
            <w:shd w:val="clear" w:color="auto" w:fill="auto"/>
            <w:noWrap/>
            <w:vAlign w:val="bottom"/>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4,201</w:t>
            </w:r>
          </w:p>
        </w:tc>
      </w:tr>
      <w:tr w:rsidR="00D0626D" w:rsidRPr="00447B3C"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2010</w:t>
            </w:r>
          </w:p>
        </w:tc>
        <w:tc>
          <w:tcPr>
            <w:tcW w:w="1200" w:type="dxa"/>
            <w:tcBorders>
              <w:top w:val="nil"/>
              <w:left w:val="nil"/>
              <w:bottom w:val="single" w:sz="4" w:space="0" w:color="auto"/>
              <w:right w:val="single" w:sz="4" w:space="0" w:color="auto"/>
            </w:tcBorders>
            <w:shd w:val="clear" w:color="auto" w:fill="auto"/>
            <w:noWrap/>
            <w:vAlign w:val="bottom"/>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21,336</w:t>
            </w:r>
          </w:p>
        </w:tc>
      </w:tr>
      <w:tr w:rsidR="00D0626D" w:rsidRPr="00447B3C"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48,756</w:t>
            </w:r>
          </w:p>
        </w:tc>
      </w:tr>
      <w:tr w:rsidR="00D0626D" w:rsidRPr="00447B3C"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2012</w:t>
            </w:r>
          </w:p>
        </w:tc>
        <w:tc>
          <w:tcPr>
            <w:tcW w:w="1200" w:type="dxa"/>
            <w:tcBorders>
              <w:top w:val="nil"/>
              <w:left w:val="nil"/>
              <w:bottom w:val="single" w:sz="4" w:space="0" w:color="auto"/>
              <w:right w:val="single" w:sz="4" w:space="0" w:color="auto"/>
            </w:tcBorders>
            <w:shd w:val="clear" w:color="auto" w:fill="auto"/>
            <w:noWrap/>
            <w:vAlign w:val="bottom"/>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51,802</w:t>
            </w:r>
          </w:p>
        </w:tc>
      </w:tr>
      <w:tr w:rsidR="00D0626D" w:rsidRPr="00447B3C"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45,139</w:t>
            </w:r>
          </w:p>
        </w:tc>
      </w:tr>
      <w:tr w:rsidR="00D0626D" w:rsidRPr="00447B3C"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2014</w:t>
            </w:r>
          </w:p>
        </w:tc>
        <w:tc>
          <w:tcPr>
            <w:tcW w:w="1200" w:type="dxa"/>
            <w:tcBorders>
              <w:top w:val="nil"/>
              <w:left w:val="nil"/>
              <w:bottom w:val="single" w:sz="4" w:space="0" w:color="auto"/>
              <w:right w:val="single" w:sz="4" w:space="0" w:color="auto"/>
            </w:tcBorders>
            <w:shd w:val="clear" w:color="auto" w:fill="auto"/>
            <w:noWrap/>
            <w:vAlign w:val="bottom"/>
            <w:hideMark/>
          </w:tcPr>
          <w:p w:rsidR="00D0626D" w:rsidRPr="00447B3C" w:rsidRDefault="00D0626D" w:rsidP="00356876">
            <w:pPr>
              <w:spacing w:after="0" w:line="240" w:lineRule="auto"/>
              <w:jc w:val="right"/>
              <w:rPr>
                <w:rFonts w:ascii="Calibri" w:eastAsia="Times New Roman" w:hAnsi="Calibri" w:cs="Times New Roman"/>
                <w:color w:val="000000"/>
                <w:sz w:val="16"/>
                <w:szCs w:val="16"/>
                <w:lang w:eastAsia="fr-FR"/>
              </w:rPr>
            </w:pPr>
            <w:r w:rsidRPr="00447B3C">
              <w:rPr>
                <w:rFonts w:ascii="Calibri" w:eastAsia="Times New Roman" w:hAnsi="Calibri" w:cs="Times New Roman"/>
                <w:color w:val="000000"/>
                <w:sz w:val="16"/>
                <w:szCs w:val="16"/>
                <w:lang w:eastAsia="fr-FR"/>
              </w:rPr>
              <w:t>42,483</w:t>
            </w:r>
          </w:p>
        </w:tc>
      </w:tr>
    </w:tbl>
    <w:p w:rsidR="00D0626D" w:rsidRDefault="00D0626D" w:rsidP="00D0626D">
      <w:pPr>
        <w:jc w:val="both"/>
      </w:pPr>
    </w:p>
    <w:p w:rsidR="00D0626D" w:rsidRDefault="00D0626D" w:rsidP="00D0626D">
      <w:pPr>
        <w:spacing w:after="0" w:line="240" w:lineRule="auto"/>
        <w:jc w:val="both"/>
        <w:rPr>
          <w:rFonts w:eastAsia="Times New Roman" w:cs="Times New Roman"/>
          <w:lang w:eastAsia="fr-FR"/>
        </w:rPr>
      </w:pPr>
      <w:r w:rsidRPr="008D1A7E">
        <w:rPr>
          <w:rFonts w:eastAsia="Times New Roman" w:cs="Times New Roman"/>
          <w:lang w:eastAsia="fr-FR"/>
        </w:rPr>
        <w:t xml:space="preserve">Les </w:t>
      </w:r>
      <w:r w:rsidRPr="008D1A7E">
        <w:t>« </w:t>
      </w:r>
      <w:r w:rsidRPr="00447B3C">
        <w:rPr>
          <w:b/>
        </w:rPr>
        <w:t>autres titres</w:t>
      </w:r>
      <w:r w:rsidRPr="008D1A7E">
        <w:t xml:space="preserve"> » sont des </w:t>
      </w:r>
      <w:r w:rsidRPr="00F66B31">
        <w:rPr>
          <w:rFonts w:eastAsia="Times New Roman" w:cs="Times New Roman"/>
          <w:b/>
          <w:lang w:eastAsia="fr-FR"/>
        </w:rPr>
        <w:t>titres en euros émis par des résidents de la zone  euro</w:t>
      </w:r>
      <w:r w:rsidRPr="009672B4">
        <w:rPr>
          <w:rFonts w:eastAsia="Times New Roman" w:cs="Times New Roman"/>
          <w:lang w:eastAsia="fr-FR"/>
        </w:rPr>
        <w:t xml:space="preserve">, autres que ceux qui sont adossés aux fonds propres, à la Caisse de réserve des employés et aux dépôts de la </w:t>
      </w:r>
      <w:r w:rsidRPr="008D1A7E">
        <w:rPr>
          <w:rFonts w:eastAsia="Times New Roman" w:cs="Times New Roman"/>
          <w:lang w:eastAsia="fr-FR"/>
        </w:rPr>
        <w:t>« </w:t>
      </w:r>
      <w:r w:rsidRPr="009672B4">
        <w:rPr>
          <w:rFonts w:eastAsia="Times New Roman" w:cs="Times New Roman"/>
          <w:lang w:eastAsia="fr-FR"/>
        </w:rPr>
        <w:t>clientèle</w:t>
      </w:r>
      <w:r w:rsidRPr="008D1A7E">
        <w:rPr>
          <w:rFonts w:eastAsia="Times New Roman" w:cs="Times New Roman"/>
          <w:lang w:eastAsia="fr-FR"/>
        </w:rPr>
        <w:t xml:space="preserve"> » de la Banque de France. </w:t>
      </w:r>
      <w:r>
        <w:t xml:space="preserve">Au 31 décembre 2014, ces </w:t>
      </w:r>
      <w:r w:rsidRPr="008D1A7E">
        <w:t>« autres titres »</w:t>
      </w:r>
      <w:r>
        <w:t xml:space="preserve"> comprenaient, en particulier, un portefeuille de placement de taille réduite et un portefeuille d’investissement pour compte propre de 75,922 milliards d’€ d’emplois nets. Le rapport annuel 2014 de la Banque de France, publié en 2015, précise à leur propos : </w:t>
      </w:r>
      <w:r w:rsidRPr="00C95A10">
        <w:t>« </w:t>
      </w:r>
      <w:r w:rsidRPr="00C95A10">
        <w:rPr>
          <w:rFonts w:eastAsia="Times New Roman" w:cs="Times New Roman"/>
          <w:lang w:eastAsia="fr-FR"/>
        </w:rPr>
        <w:t xml:space="preserve">Outre les portefeuilles constitués dans le cadre des </w:t>
      </w:r>
      <w:r w:rsidRPr="00556C2D">
        <w:rPr>
          <w:rFonts w:eastAsia="Times New Roman" w:cs="Times New Roman"/>
          <w:lang w:eastAsia="fr-FR"/>
        </w:rPr>
        <w:t xml:space="preserve">programmes de politique monétaire, la Banque détient des portefeuilles </w:t>
      </w:r>
      <w:r w:rsidRPr="00103EDA">
        <w:rPr>
          <w:rFonts w:eastAsia="Times New Roman" w:cs="Times New Roman"/>
          <w:b/>
          <w:lang w:eastAsia="fr-FR"/>
        </w:rPr>
        <w:t>en emploi de ses ressources monétaires</w:t>
      </w:r>
      <w:r w:rsidRPr="00556C2D">
        <w:rPr>
          <w:rFonts w:eastAsia="Times New Roman" w:cs="Times New Roman"/>
          <w:lang w:eastAsia="fr-FR"/>
        </w:rPr>
        <w:t xml:space="preserve"> dans le cadre de gestion adopté par l’</w:t>
      </w:r>
      <w:proofErr w:type="spellStart"/>
      <w:r w:rsidRPr="00556C2D">
        <w:rPr>
          <w:rFonts w:eastAsia="Times New Roman" w:cs="Times New Roman"/>
          <w:lang w:eastAsia="fr-FR"/>
        </w:rPr>
        <w:t>Eurosystème</w:t>
      </w:r>
      <w:proofErr w:type="spellEnd"/>
      <w:r w:rsidRPr="00556C2D">
        <w:rPr>
          <w:rFonts w:eastAsia="Times New Roman" w:cs="Times New Roman"/>
          <w:lang w:eastAsia="fr-FR"/>
        </w:rPr>
        <w:t xml:space="preserve"> à compter de 2003, qui autorise les banques centrales nationales à </w:t>
      </w:r>
      <w:r w:rsidRPr="00556C2D">
        <w:rPr>
          <w:rFonts w:eastAsia="Times New Roman" w:cs="Times New Roman"/>
          <w:b/>
          <w:lang w:eastAsia="fr-FR"/>
        </w:rPr>
        <w:t>détenir des portefeuilles libellés en euros non liés à la mise en œuvre de la politique monétaire, dans des limites revues chaque année</w:t>
      </w:r>
      <w:r w:rsidRPr="00556C2D">
        <w:rPr>
          <w:rFonts w:eastAsia="Times New Roman" w:cs="Times New Roman"/>
          <w:lang w:eastAsia="fr-FR"/>
        </w:rPr>
        <w:t xml:space="preserve">. La  Banque détient dans ce cadre un portefeuille de placement à </w:t>
      </w:r>
      <w:r w:rsidRPr="00C95A10">
        <w:rPr>
          <w:rFonts w:eastAsia="Times New Roman" w:cs="Times New Roman"/>
          <w:lang w:eastAsia="fr-FR"/>
        </w:rPr>
        <w:t xml:space="preserve">court terme dont la taille a été réduite dans un contexte </w:t>
      </w:r>
      <w:r w:rsidRPr="00556C2D">
        <w:rPr>
          <w:rFonts w:eastAsia="Times New Roman" w:cs="Times New Roman"/>
          <w:lang w:eastAsia="fr-FR"/>
        </w:rPr>
        <w:t xml:space="preserve">de taux de rendement bas, ainsi qu’un portefeuille d’investissement pour compte propre qui </w:t>
      </w:r>
      <w:r w:rsidRPr="00556C2D">
        <w:rPr>
          <w:rFonts w:eastAsia="Times New Roman" w:cs="Times New Roman"/>
          <w:b/>
          <w:lang w:eastAsia="fr-FR"/>
        </w:rPr>
        <w:t>permet de réduire la sensibilité du résultat financier au cycle de taux directeur.</w:t>
      </w:r>
      <w:r w:rsidRPr="00A21EBE">
        <w:rPr>
          <w:rFonts w:eastAsia="Times New Roman" w:cs="Times New Roman"/>
          <w:b/>
          <w:lang w:eastAsia="fr-FR"/>
        </w:rPr>
        <w:t> </w:t>
      </w:r>
      <w:r w:rsidRPr="00C95A10">
        <w:rPr>
          <w:rFonts w:eastAsia="Times New Roman" w:cs="Times New Roman"/>
          <w:lang w:eastAsia="fr-FR"/>
        </w:rPr>
        <w:t>»</w:t>
      </w:r>
      <w:r>
        <w:rPr>
          <w:rFonts w:eastAsia="Times New Roman" w:cs="Times New Roman"/>
          <w:lang w:eastAsia="fr-FR"/>
        </w:rPr>
        <w:t xml:space="preserve"> C’est l’</w:t>
      </w:r>
      <w:hyperlink r:id="rId8" w:history="1">
        <w:r w:rsidRPr="00165964">
          <w:rPr>
            <w:rStyle w:val="Lienhypertexte"/>
          </w:rPr>
          <w:t xml:space="preserve">Agreement on Net Financial </w:t>
        </w:r>
        <w:proofErr w:type="spellStart"/>
        <w:r w:rsidRPr="00165964">
          <w:rPr>
            <w:rStyle w:val="Lienhypertexte"/>
          </w:rPr>
          <w:t>Assets</w:t>
        </w:r>
        <w:proofErr w:type="spellEnd"/>
        <w:r w:rsidRPr="00165964">
          <w:rPr>
            <w:rStyle w:val="Lienhypertexte"/>
          </w:rPr>
          <w:t xml:space="preserve"> ou ANFA de la BCE</w:t>
        </w:r>
      </w:hyperlink>
      <w:r>
        <w:t xml:space="preserve">. </w:t>
      </w:r>
      <w:r>
        <w:rPr>
          <w:rFonts w:eastAsia="Times New Roman" w:cs="Times New Roman"/>
          <w:lang w:eastAsia="fr-FR"/>
        </w:rPr>
        <w:t xml:space="preserve">Ces titres peuvent contenir des obligations publiques en euros émises par la France ou par d’autres pays de la zone euro, des placements en euros dont les débiteurs sont en zone euro, et des instruments financiers en euros émis par des débiteurs privés de la zone euro. </w:t>
      </w:r>
      <w:r w:rsidRPr="00447B3C">
        <w:rPr>
          <w:rFonts w:eastAsia="Times New Roman" w:cs="Times New Roman"/>
          <w:b/>
          <w:lang w:eastAsia="fr-FR"/>
        </w:rPr>
        <w:t xml:space="preserve">Cette rubrique </w:t>
      </w:r>
      <w:r>
        <w:rPr>
          <w:rFonts w:eastAsia="Times New Roman" w:cs="Times New Roman"/>
          <w:b/>
          <w:lang w:eastAsia="fr-FR"/>
        </w:rPr>
        <w:t>« </w:t>
      </w:r>
      <w:r w:rsidRPr="00447B3C">
        <w:rPr>
          <w:rFonts w:eastAsia="Times New Roman" w:cs="Times New Roman"/>
          <w:b/>
          <w:lang w:eastAsia="fr-FR"/>
        </w:rPr>
        <w:t>autres titres</w:t>
      </w:r>
      <w:r>
        <w:rPr>
          <w:rFonts w:eastAsia="Times New Roman" w:cs="Times New Roman"/>
          <w:b/>
          <w:lang w:eastAsia="fr-FR"/>
        </w:rPr>
        <w:t> »</w:t>
      </w:r>
      <w:r w:rsidRPr="00447B3C">
        <w:rPr>
          <w:rFonts w:eastAsia="Times New Roman" w:cs="Times New Roman"/>
          <w:b/>
          <w:lang w:eastAsia="fr-FR"/>
        </w:rPr>
        <w:t xml:space="preserve"> comprend </w:t>
      </w:r>
      <w:r>
        <w:rPr>
          <w:rFonts w:eastAsia="Times New Roman" w:cs="Times New Roman"/>
          <w:b/>
          <w:lang w:eastAsia="fr-FR"/>
        </w:rPr>
        <w:t xml:space="preserve">toutefois </w:t>
      </w:r>
      <w:r w:rsidRPr="00447B3C">
        <w:rPr>
          <w:rFonts w:eastAsia="Times New Roman" w:cs="Times New Roman"/>
          <w:b/>
          <w:lang w:eastAsia="fr-FR"/>
        </w:rPr>
        <w:t>d’autres actifs que ceux détenus dans le cadre de l’ANFA.</w:t>
      </w:r>
      <w:r>
        <w:rPr>
          <w:rFonts w:eastAsia="Times New Roman" w:cs="Times New Roman"/>
          <w:lang w:eastAsia="fr-FR"/>
        </w:rPr>
        <w:t xml:space="preserve"> Jusqu’en 2011, la rubrique « autres titres » comprend également des OPCVM détenus dans le cadre des ELA ou Emergency </w:t>
      </w:r>
      <w:proofErr w:type="spellStart"/>
      <w:r>
        <w:rPr>
          <w:rFonts w:eastAsia="Times New Roman" w:cs="Times New Roman"/>
          <w:lang w:eastAsia="fr-FR"/>
        </w:rPr>
        <w:t>Liquidity</w:t>
      </w:r>
      <w:proofErr w:type="spellEnd"/>
      <w:r>
        <w:rPr>
          <w:rFonts w:eastAsia="Times New Roman" w:cs="Times New Roman"/>
          <w:lang w:eastAsia="fr-FR"/>
        </w:rPr>
        <w:t xml:space="preserve"> Assistance à certaines banques. A partir de 2012, ils sont inclus dans la rubrique « autres concours en euros à des établissements de crédit de la zone euro » où ont toujours été comptabilisées les autres formes d’ELA. Ces OPCVM étaient de 8000 millions d’€ en 2011 et 5998 millions d’€ en 2012. Les autres formes d’ELA étaient de 18735 millions d’€ en 2011 et 5998 millions d’€ en 2012. Comme les titres ANFA, ces financements, sous la forme d’OPCVM ou autres,  ont également pour contrepartie des éléments de la base monétaire.</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center"/>
      </w:pPr>
      <w:r w:rsidRPr="00447B3C">
        <w:rPr>
          <w:rFonts w:eastAsia="Times New Roman" w:cs="Times New Roman"/>
          <w:b/>
          <w:lang w:eastAsia="fr-FR"/>
        </w:rPr>
        <w:t xml:space="preserve">Rubrique 7.2 </w:t>
      </w:r>
      <w:r w:rsidRPr="00447B3C">
        <w:rPr>
          <w:b/>
        </w:rPr>
        <w:t>autres titres</w:t>
      </w:r>
    </w:p>
    <w:p w:rsidR="00D0626D" w:rsidRDefault="00D0626D" w:rsidP="00D0626D">
      <w:pPr>
        <w:jc w:val="center"/>
        <w:rPr>
          <w:b/>
        </w:rPr>
      </w:pPr>
      <w:r>
        <w:rPr>
          <w:b/>
        </w:rPr>
        <w:t>Milliards d’€</w:t>
      </w:r>
    </w:p>
    <w:tbl>
      <w:tblPr>
        <w:tblW w:w="2400" w:type="dxa"/>
        <w:jc w:val="center"/>
        <w:tblCellMar>
          <w:left w:w="70" w:type="dxa"/>
          <w:right w:w="70" w:type="dxa"/>
        </w:tblCellMar>
        <w:tblLook w:val="04A0" w:firstRow="1" w:lastRow="0" w:firstColumn="1" w:lastColumn="0" w:noHBand="0" w:noVBand="1"/>
      </w:tblPr>
      <w:tblGrid>
        <w:gridCol w:w="1200"/>
        <w:gridCol w:w="1200"/>
      </w:tblGrid>
      <w:tr w:rsidR="00D0626D" w:rsidRPr="009447C3" w:rsidTr="00356876">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626D" w:rsidRPr="009447C3" w:rsidRDefault="00D0626D" w:rsidP="00356876">
            <w:pPr>
              <w:spacing w:after="0" w:line="240" w:lineRule="auto"/>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2007</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D0626D" w:rsidRPr="009447C3" w:rsidRDefault="00D0626D" w:rsidP="00356876">
            <w:pPr>
              <w:spacing w:after="0" w:line="240" w:lineRule="auto"/>
              <w:jc w:val="center"/>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39,141</w:t>
            </w:r>
          </w:p>
        </w:tc>
      </w:tr>
      <w:tr w:rsidR="00D0626D" w:rsidRPr="009447C3" w:rsidTr="0035687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0626D" w:rsidRPr="009447C3" w:rsidRDefault="00D0626D" w:rsidP="00356876">
            <w:pPr>
              <w:spacing w:after="0" w:line="240" w:lineRule="auto"/>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2008</w:t>
            </w:r>
          </w:p>
        </w:tc>
        <w:tc>
          <w:tcPr>
            <w:tcW w:w="1200" w:type="dxa"/>
            <w:tcBorders>
              <w:top w:val="nil"/>
              <w:left w:val="nil"/>
              <w:bottom w:val="single" w:sz="8" w:space="0" w:color="auto"/>
              <w:right w:val="single" w:sz="8" w:space="0" w:color="auto"/>
            </w:tcBorders>
            <w:shd w:val="clear" w:color="auto" w:fill="auto"/>
            <w:noWrap/>
            <w:vAlign w:val="bottom"/>
            <w:hideMark/>
          </w:tcPr>
          <w:p w:rsidR="00D0626D" w:rsidRPr="009447C3" w:rsidRDefault="00D0626D" w:rsidP="00356876">
            <w:pPr>
              <w:spacing w:after="0" w:line="240" w:lineRule="auto"/>
              <w:jc w:val="center"/>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68,740</w:t>
            </w:r>
          </w:p>
        </w:tc>
      </w:tr>
      <w:tr w:rsidR="00D0626D" w:rsidRPr="009447C3" w:rsidTr="0035687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0626D" w:rsidRPr="009447C3" w:rsidRDefault="00D0626D" w:rsidP="00356876">
            <w:pPr>
              <w:spacing w:after="0" w:line="240" w:lineRule="auto"/>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2009</w:t>
            </w:r>
          </w:p>
        </w:tc>
        <w:tc>
          <w:tcPr>
            <w:tcW w:w="1200" w:type="dxa"/>
            <w:tcBorders>
              <w:top w:val="nil"/>
              <w:left w:val="nil"/>
              <w:bottom w:val="single" w:sz="8" w:space="0" w:color="auto"/>
              <w:right w:val="single" w:sz="8" w:space="0" w:color="auto"/>
            </w:tcBorders>
            <w:shd w:val="clear" w:color="auto" w:fill="auto"/>
            <w:noWrap/>
            <w:vAlign w:val="bottom"/>
            <w:hideMark/>
          </w:tcPr>
          <w:p w:rsidR="00D0626D" w:rsidRPr="009447C3" w:rsidRDefault="00D0626D" w:rsidP="00356876">
            <w:pPr>
              <w:spacing w:after="0" w:line="240" w:lineRule="auto"/>
              <w:jc w:val="center"/>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64,516</w:t>
            </w:r>
          </w:p>
        </w:tc>
      </w:tr>
      <w:tr w:rsidR="00D0626D" w:rsidRPr="009447C3" w:rsidTr="0035687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0626D" w:rsidRPr="009447C3" w:rsidRDefault="00D0626D" w:rsidP="00356876">
            <w:pPr>
              <w:spacing w:after="0" w:line="240" w:lineRule="auto"/>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2010</w:t>
            </w:r>
          </w:p>
        </w:tc>
        <w:tc>
          <w:tcPr>
            <w:tcW w:w="1200" w:type="dxa"/>
            <w:tcBorders>
              <w:top w:val="nil"/>
              <w:left w:val="nil"/>
              <w:bottom w:val="single" w:sz="8" w:space="0" w:color="auto"/>
              <w:right w:val="single" w:sz="8" w:space="0" w:color="auto"/>
            </w:tcBorders>
            <w:shd w:val="clear" w:color="auto" w:fill="auto"/>
            <w:noWrap/>
            <w:vAlign w:val="bottom"/>
            <w:hideMark/>
          </w:tcPr>
          <w:p w:rsidR="00D0626D" w:rsidRPr="009447C3" w:rsidRDefault="00D0626D" w:rsidP="00356876">
            <w:pPr>
              <w:spacing w:after="0" w:line="240" w:lineRule="auto"/>
              <w:jc w:val="center"/>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69,079</w:t>
            </w:r>
          </w:p>
        </w:tc>
      </w:tr>
      <w:tr w:rsidR="00D0626D" w:rsidRPr="009447C3" w:rsidTr="0035687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0626D" w:rsidRPr="009447C3" w:rsidRDefault="00D0626D" w:rsidP="00356876">
            <w:pPr>
              <w:spacing w:after="0" w:line="240" w:lineRule="auto"/>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2011</w:t>
            </w:r>
          </w:p>
        </w:tc>
        <w:tc>
          <w:tcPr>
            <w:tcW w:w="1200" w:type="dxa"/>
            <w:tcBorders>
              <w:top w:val="nil"/>
              <w:left w:val="nil"/>
              <w:bottom w:val="single" w:sz="8" w:space="0" w:color="auto"/>
              <w:right w:val="single" w:sz="8" w:space="0" w:color="auto"/>
            </w:tcBorders>
            <w:shd w:val="clear" w:color="auto" w:fill="auto"/>
            <w:noWrap/>
            <w:vAlign w:val="bottom"/>
            <w:hideMark/>
          </w:tcPr>
          <w:p w:rsidR="00D0626D" w:rsidRPr="009447C3" w:rsidRDefault="00D0626D" w:rsidP="00356876">
            <w:pPr>
              <w:spacing w:after="0" w:line="240" w:lineRule="auto"/>
              <w:jc w:val="center"/>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90,538</w:t>
            </w:r>
          </w:p>
        </w:tc>
      </w:tr>
      <w:tr w:rsidR="00D0626D" w:rsidRPr="009447C3" w:rsidTr="0035687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0626D" w:rsidRPr="009447C3" w:rsidRDefault="00D0626D" w:rsidP="00356876">
            <w:pPr>
              <w:spacing w:after="0" w:line="240" w:lineRule="auto"/>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lastRenderedPageBreak/>
              <w:t>2012</w:t>
            </w:r>
          </w:p>
        </w:tc>
        <w:tc>
          <w:tcPr>
            <w:tcW w:w="1200" w:type="dxa"/>
            <w:tcBorders>
              <w:top w:val="nil"/>
              <w:left w:val="nil"/>
              <w:bottom w:val="single" w:sz="8" w:space="0" w:color="auto"/>
              <w:right w:val="single" w:sz="8" w:space="0" w:color="auto"/>
            </w:tcBorders>
            <w:shd w:val="clear" w:color="auto" w:fill="auto"/>
            <w:noWrap/>
            <w:vAlign w:val="bottom"/>
            <w:hideMark/>
          </w:tcPr>
          <w:p w:rsidR="00D0626D" w:rsidRPr="009447C3" w:rsidRDefault="00D0626D" w:rsidP="00356876">
            <w:pPr>
              <w:spacing w:after="0" w:line="240" w:lineRule="auto"/>
              <w:jc w:val="center"/>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78,625</w:t>
            </w:r>
          </w:p>
        </w:tc>
      </w:tr>
      <w:tr w:rsidR="00D0626D" w:rsidRPr="009447C3" w:rsidTr="0035687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0626D" w:rsidRPr="009447C3" w:rsidRDefault="00D0626D" w:rsidP="00356876">
            <w:pPr>
              <w:spacing w:after="0" w:line="240" w:lineRule="auto"/>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2013</w:t>
            </w:r>
          </w:p>
        </w:tc>
        <w:tc>
          <w:tcPr>
            <w:tcW w:w="1200" w:type="dxa"/>
            <w:tcBorders>
              <w:top w:val="nil"/>
              <w:left w:val="nil"/>
              <w:bottom w:val="single" w:sz="8" w:space="0" w:color="auto"/>
              <w:right w:val="single" w:sz="8" w:space="0" w:color="auto"/>
            </w:tcBorders>
            <w:shd w:val="clear" w:color="auto" w:fill="auto"/>
            <w:noWrap/>
            <w:vAlign w:val="bottom"/>
            <w:hideMark/>
          </w:tcPr>
          <w:p w:rsidR="00D0626D" w:rsidRPr="009447C3" w:rsidRDefault="00D0626D" w:rsidP="00356876">
            <w:pPr>
              <w:spacing w:after="0" w:line="240" w:lineRule="auto"/>
              <w:jc w:val="center"/>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79,043</w:t>
            </w:r>
          </w:p>
        </w:tc>
      </w:tr>
      <w:tr w:rsidR="00D0626D" w:rsidRPr="009447C3" w:rsidTr="0035687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D0626D" w:rsidRPr="009447C3" w:rsidRDefault="00D0626D" w:rsidP="00356876">
            <w:pPr>
              <w:spacing w:after="0" w:line="240" w:lineRule="auto"/>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2014</w:t>
            </w:r>
          </w:p>
        </w:tc>
        <w:tc>
          <w:tcPr>
            <w:tcW w:w="1200" w:type="dxa"/>
            <w:tcBorders>
              <w:top w:val="nil"/>
              <w:left w:val="nil"/>
              <w:bottom w:val="single" w:sz="8" w:space="0" w:color="auto"/>
              <w:right w:val="single" w:sz="8" w:space="0" w:color="auto"/>
            </w:tcBorders>
            <w:shd w:val="clear" w:color="auto" w:fill="auto"/>
            <w:noWrap/>
            <w:vAlign w:val="bottom"/>
            <w:hideMark/>
          </w:tcPr>
          <w:p w:rsidR="00D0626D" w:rsidRPr="009447C3" w:rsidRDefault="00D0626D" w:rsidP="00356876">
            <w:pPr>
              <w:spacing w:after="0" w:line="240" w:lineRule="auto"/>
              <w:jc w:val="center"/>
              <w:rPr>
                <w:rFonts w:ascii="Calibri" w:eastAsia="Times New Roman" w:hAnsi="Calibri" w:cs="Times New Roman"/>
                <w:color w:val="000000"/>
                <w:sz w:val="16"/>
                <w:szCs w:val="16"/>
                <w:lang w:eastAsia="fr-FR"/>
              </w:rPr>
            </w:pPr>
            <w:r w:rsidRPr="009447C3">
              <w:rPr>
                <w:rFonts w:ascii="Calibri" w:eastAsia="Times New Roman" w:hAnsi="Calibri" w:cs="Times New Roman"/>
                <w:color w:val="000000"/>
                <w:sz w:val="16"/>
                <w:szCs w:val="16"/>
                <w:lang w:eastAsia="fr-FR"/>
              </w:rPr>
              <w:t>78,557</w:t>
            </w:r>
          </w:p>
        </w:tc>
      </w:tr>
    </w:tbl>
    <w:p w:rsidR="00D0626D" w:rsidRDefault="00D0626D" w:rsidP="00D0626D">
      <w:pPr>
        <w:jc w:val="center"/>
        <w:rPr>
          <w:b/>
        </w:rPr>
      </w:pPr>
    </w:p>
    <w:p w:rsidR="00D0626D" w:rsidRPr="009E5DAF" w:rsidRDefault="00D0626D" w:rsidP="00D0626D">
      <w:pPr>
        <w:jc w:val="center"/>
        <w:rPr>
          <w:b/>
        </w:rPr>
      </w:pPr>
    </w:p>
    <w:p w:rsidR="00D0626D" w:rsidRDefault="00D0626D" w:rsidP="00D0626D">
      <w:pPr>
        <w:spacing w:after="0" w:line="240" w:lineRule="auto"/>
        <w:jc w:val="both"/>
        <w:rPr>
          <w:rFonts w:eastAsia="Times New Roman" w:cs="Times New Roman"/>
          <w:lang w:eastAsia="fr-FR"/>
        </w:rPr>
      </w:pPr>
    </w:p>
    <w:p w:rsidR="00D0626D" w:rsidRPr="00C95A10" w:rsidRDefault="00D0626D" w:rsidP="00D0626D">
      <w:pPr>
        <w:jc w:val="both"/>
      </w:pPr>
    </w:p>
    <w:p w:rsidR="00D0626D" w:rsidRDefault="00D0626D" w:rsidP="00D0626D">
      <w:pPr>
        <w:spacing w:after="0" w:line="240" w:lineRule="auto"/>
        <w:jc w:val="both"/>
        <w:rPr>
          <w:rFonts w:eastAsia="Times New Roman" w:cs="Times New Roman"/>
          <w:lang w:eastAsia="fr-FR"/>
        </w:rPr>
      </w:pPr>
      <w:r w:rsidRPr="008D1A7E">
        <w:rPr>
          <w:rFonts w:eastAsia="Times New Roman" w:cs="Times New Roman"/>
          <w:lang w:eastAsia="fr-FR"/>
        </w:rPr>
        <w:t xml:space="preserve">Les </w:t>
      </w:r>
      <w:r w:rsidRPr="008D1A7E">
        <w:t>« </w:t>
      </w:r>
      <w:r w:rsidRPr="00F20821">
        <w:rPr>
          <w:b/>
        </w:rPr>
        <w:t>Autres actifs financiers en euros et en devises</w:t>
      </w:r>
      <w:r w:rsidRPr="008D1A7E">
        <w:t xml:space="preserve"> » </w:t>
      </w:r>
      <w:r>
        <w:t xml:space="preserve">comprennent </w:t>
      </w:r>
      <w:r w:rsidRPr="008D1A7E">
        <w:rPr>
          <w:rFonts w:eastAsia="Times New Roman" w:cs="Times New Roman"/>
          <w:lang w:eastAsia="fr-FR"/>
        </w:rPr>
        <w:t xml:space="preserve">notamment les titres adossés aux dépôts de la </w:t>
      </w:r>
      <w:r>
        <w:rPr>
          <w:rFonts w:eastAsia="Times New Roman" w:cs="Times New Roman"/>
          <w:lang w:eastAsia="fr-FR"/>
        </w:rPr>
        <w:t>« </w:t>
      </w:r>
      <w:r w:rsidRPr="008D1A7E">
        <w:rPr>
          <w:rFonts w:eastAsia="Times New Roman" w:cs="Times New Roman"/>
          <w:lang w:eastAsia="fr-FR"/>
        </w:rPr>
        <w:t>clientèle</w:t>
      </w:r>
      <w:r>
        <w:rPr>
          <w:rFonts w:eastAsia="Times New Roman" w:cs="Times New Roman"/>
          <w:lang w:eastAsia="fr-FR"/>
        </w:rPr>
        <w:t> »</w:t>
      </w:r>
      <w:r w:rsidRPr="008D1A7E">
        <w:rPr>
          <w:rFonts w:eastAsia="Times New Roman" w:cs="Times New Roman"/>
          <w:lang w:eastAsia="fr-FR"/>
        </w:rPr>
        <w:t xml:space="preserve">, </w:t>
      </w:r>
      <w:r w:rsidRPr="009672B4">
        <w:rPr>
          <w:rFonts w:eastAsia="Times New Roman" w:cs="Times New Roman"/>
          <w:lang w:eastAsia="fr-FR"/>
        </w:rPr>
        <w:t>aux fonds propres</w:t>
      </w:r>
      <w:r w:rsidRPr="008D1A7E">
        <w:rPr>
          <w:rFonts w:eastAsia="Times New Roman" w:cs="Times New Roman"/>
          <w:lang w:eastAsia="fr-FR"/>
        </w:rPr>
        <w:t xml:space="preserve"> et provisions</w:t>
      </w:r>
      <w:r w:rsidRPr="009672B4">
        <w:rPr>
          <w:rFonts w:eastAsia="Times New Roman" w:cs="Times New Roman"/>
          <w:lang w:eastAsia="fr-FR"/>
        </w:rPr>
        <w:t>,</w:t>
      </w:r>
      <w:r w:rsidRPr="008D1A7E">
        <w:rPr>
          <w:rFonts w:eastAsia="Times New Roman" w:cs="Times New Roman"/>
          <w:lang w:eastAsia="fr-FR"/>
        </w:rPr>
        <w:t xml:space="preserve"> et </w:t>
      </w:r>
      <w:r w:rsidRPr="009672B4">
        <w:rPr>
          <w:rFonts w:eastAsia="Times New Roman" w:cs="Times New Roman"/>
          <w:lang w:eastAsia="fr-FR"/>
        </w:rPr>
        <w:t>à la Caisse de réserve des employés</w:t>
      </w:r>
      <w:r w:rsidRPr="008D1A7E">
        <w:rPr>
          <w:rFonts w:eastAsia="Times New Roman" w:cs="Times New Roman"/>
          <w:lang w:eastAsia="fr-FR"/>
        </w:rPr>
        <w:t>. Par « clientèle » de la Banque de France, on entend essentiellement d’autres banques centrales</w:t>
      </w:r>
      <w:r>
        <w:rPr>
          <w:rFonts w:eastAsia="Times New Roman" w:cs="Times New Roman"/>
          <w:lang w:eastAsia="fr-FR"/>
        </w:rPr>
        <w:t xml:space="preserve">, </w:t>
      </w:r>
      <w:r w:rsidRPr="00AE531B">
        <w:rPr>
          <w:rFonts w:ascii="Times New Roman" w:eastAsia="Times New Roman" w:hAnsi="Times New Roman" w:cs="Times New Roman"/>
          <w:sz w:val="23"/>
          <w:szCs w:val="23"/>
          <w:lang w:eastAsia="fr-FR"/>
        </w:rPr>
        <w:t>hors zone euro</w:t>
      </w:r>
      <w:r>
        <w:rPr>
          <w:rFonts w:ascii="Times New Roman" w:eastAsia="Times New Roman" w:hAnsi="Times New Roman" w:cs="Times New Roman"/>
          <w:sz w:val="23"/>
          <w:szCs w:val="23"/>
          <w:lang w:eastAsia="fr-FR"/>
        </w:rPr>
        <w:t>,</w:t>
      </w:r>
      <w:r w:rsidRPr="00AE531B">
        <w:rPr>
          <w:rFonts w:ascii="Times New Roman" w:eastAsia="Times New Roman" w:hAnsi="Times New Roman" w:cs="Times New Roman"/>
          <w:sz w:val="23"/>
          <w:szCs w:val="23"/>
          <w:lang w:eastAsia="fr-FR"/>
        </w:rPr>
        <w:t xml:space="preserve"> qui ont recours à la Banque de France pour placer une partie de leurs réserves de change</w:t>
      </w:r>
      <w:r w:rsidRPr="008D1A7E">
        <w:rPr>
          <w:rFonts w:eastAsia="Times New Roman" w:cs="Times New Roman"/>
          <w:lang w:eastAsia="fr-FR"/>
        </w:rPr>
        <w:t xml:space="preserve">. Cette « clientèle » </w:t>
      </w:r>
      <w:r>
        <w:rPr>
          <w:rFonts w:eastAsia="Times New Roman" w:cs="Times New Roman"/>
          <w:lang w:eastAsia="fr-FR"/>
        </w:rPr>
        <w:t xml:space="preserve">ainsi définie </w:t>
      </w:r>
      <w:r w:rsidRPr="008D1A7E">
        <w:rPr>
          <w:rFonts w:eastAsia="Times New Roman" w:cs="Times New Roman"/>
          <w:lang w:eastAsia="fr-FR"/>
        </w:rPr>
        <w:t>ne comprend pas les banques françaises à qui la Banque de France prête et emprunte dans le cadre de la politique monétaire, ni les détenteurs des billets qu’elle émet.</w:t>
      </w:r>
      <w:r>
        <w:rPr>
          <w:rFonts w:eastAsia="Times New Roman" w:cs="Times New Roman"/>
          <w:lang w:eastAsia="fr-FR"/>
        </w:rPr>
        <w:t xml:space="preserve"> Ces titres et actifs peuvent contenir des obligations publiques émises par la France ou par d’autres pays de la zone euro, des obligations publiques émises par des pays situés hors de la zone euro, et des instruments financiers émis par des débiteurs privés de la zone euro ou d’ailleurs. C’est dans ce poste que sont inclus les placements </w:t>
      </w:r>
      <w:r w:rsidRPr="00180EF8">
        <w:rPr>
          <w:rFonts w:eastAsia="Times New Roman" w:cs="Times New Roman"/>
          <w:b/>
          <w:lang w:eastAsia="fr-FR"/>
        </w:rPr>
        <w:t>en devises étrangères</w:t>
      </w:r>
      <w:r>
        <w:rPr>
          <w:rFonts w:eastAsia="Times New Roman" w:cs="Times New Roman"/>
          <w:lang w:eastAsia="fr-FR"/>
        </w:rPr>
        <w:t xml:space="preserve"> des dépôts de la « clientèle » en euros et en devises. C’est une des contreparties de ces dépôts enregistrés au passif aux rubriques p10, qui comprend les dépôts en devises étrangères des organismes publics français ou étrangers et des banques centrales étrangères, et p4, qui comprend les dépôts en euros de la clientèle hors zone euro. </w:t>
      </w:r>
      <w:r w:rsidRPr="00482BDE">
        <w:rPr>
          <w:rFonts w:eastAsia="Times New Roman" w:cs="Times New Roman"/>
          <w:b/>
          <w:lang w:eastAsia="fr-FR"/>
        </w:rPr>
        <w:t xml:space="preserve">D’après les informations éparses fournis par les rapports annuels, il semblerait que cette rubrique se répartit </w:t>
      </w:r>
      <w:r>
        <w:rPr>
          <w:rFonts w:eastAsia="Times New Roman" w:cs="Times New Roman"/>
          <w:b/>
          <w:lang w:eastAsia="fr-FR"/>
        </w:rPr>
        <w:t xml:space="preserve">à peu près </w:t>
      </w:r>
      <w:r w:rsidRPr="00482BDE">
        <w:rPr>
          <w:rFonts w:eastAsia="Times New Roman" w:cs="Times New Roman"/>
          <w:b/>
          <w:lang w:eastAsia="fr-FR"/>
        </w:rPr>
        <w:t>de cette manière</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center"/>
        <w:rPr>
          <w:rFonts w:eastAsia="Times New Roman" w:cs="Times New Roman"/>
          <w:b/>
          <w:lang w:eastAsia="fr-FR"/>
        </w:rPr>
      </w:pPr>
      <w:r w:rsidRPr="009A07A5">
        <w:rPr>
          <w:rFonts w:eastAsia="Times New Roman" w:cs="Times New Roman"/>
          <w:b/>
          <w:lang w:eastAsia="fr-FR"/>
        </w:rPr>
        <w:t xml:space="preserve">Composition du poste d’actif a11 « autres actifs </w:t>
      </w:r>
      <w:r w:rsidRPr="009A07A5">
        <w:rPr>
          <w:b/>
        </w:rPr>
        <w:t>financiers</w:t>
      </w:r>
      <w:r w:rsidRPr="009A07A5">
        <w:rPr>
          <w:rFonts w:eastAsia="Times New Roman" w:cs="Times New Roman"/>
          <w:b/>
          <w:lang w:eastAsia="fr-FR"/>
        </w:rPr>
        <w:t xml:space="preserve"> en euros et en devises »</w:t>
      </w:r>
    </w:p>
    <w:p w:rsidR="00D0626D" w:rsidRPr="009A07A5" w:rsidRDefault="00D0626D" w:rsidP="00D0626D">
      <w:pPr>
        <w:spacing w:after="0" w:line="240" w:lineRule="auto"/>
        <w:jc w:val="center"/>
        <w:rPr>
          <w:rFonts w:eastAsia="Times New Roman" w:cs="Times New Roman"/>
          <w:b/>
          <w:lang w:eastAsia="fr-FR"/>
        </w:rPr>
      </w:pPr>
      <w:r>
        <w:rPr>
          <w:rFonts w:eastAsia="Times New Roman" w:cs="Times New Roman"/>
          <w:b/>
          <w:lang w:eastAsia="fr-FR"/>
        </w:rPr>
        <w:t>Milliards d’€</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r>
        <w:rPr>
          <w:rFonts w:eastAsia="Times New Roman" w:cs="Times New Roman"/>
          <w:lang w:eastAsia="fr-FR"/>
        </w:rPr>
        <w:t xml:space="preserve"> </w:t>
      </w:r>
    </w:p>
    <w:tbl>
      <w:tblPr>
        <w:tblW w:w="9356" w:type="dxa"/>
        <w:tblInd w:w="-5" w:type="dxa"/>
        <w:tblCellMar>
          <w:left w:w="70" w:type="dxa"/>
          <w:right w:w="70" w:type="dxa"/>
        </w:tblCellMar>
        <w:tblLook w:val="04A0" w:firstRow="1" w:lastRow="0" w:firstColumn="1" w:lastColumn="0" w:noHBand="0" w:noVBand="1"/>
      </w:tblPr>
      <w:tblGrid>
        <w:gridCol w:w="1140"/>
        <w:gridCol w:w="940"/>
        <w:gridCol w:w="1181"/>
        <w:gridCol w:w="1134"/>
        <w:gridCol w:w="1134"/>
        <w:gridCol w:w="1842"/>
        <w:gridCol w:w="993"/>
        <w:gridCol w:w="992"/>
      </w:tblGrid>
      <w:tr w:rsidR="00D0626D" w:rsidRPr="009A07A5" w:rsidTr="00356876">
        <w:trPr>
          <w:trHeight w:val="112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Total</w:t>
            </w:r>
          </w:p>
        </w:tc>
        <w:tc>
          <w:tcPr>
            <w:tcW w:w="3449" w:type="dxa"/>
            <w:gridSpan w:val="3"/>
            <w:tcBorders>
              <w:top w:val="single" w:sz="4" w:space="0" w:color="auto"/>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xml:space="preserve">Titres à revenu fixe conservés jusqu’à l’échéance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xml:space="preserve">Autres titres à revenu fixe </w:t>
            </w:r>
            <w:r w:rsidRPr="009A07A5">
              <w:rPr>
                <w:rFonts w:ascii="Calibri" w:eastAsia="Times New Roman" w:hAnsi="Calibri" w:cs="Times New Roman"/>
                <w:color w:val="000000"/>
                <w:sz w:val="16"/>
                <w:szCs w:val="16"/>
                <w:lang w:eastAsia="fr-FR"/>
              </w:rPr>
              <w:br/>
              <w:t>et titres à revenu variable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Autres opérations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Créances rattachées</w:t>
            </w:r>
          </w:p>
        </w:tc>
      </w:tr>
      <w:tr w:rsidR="00D0626D" w:rsidRPr="009A07A5" w:rsidTr="00356876">
        <w:trPr>
          <w:trHeight w:val="585"/>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2315" w:type="dxa"/>
            <w:gridSpan w:val="2"/>
            <w:tcBorders>
              <w:top w:val="single" w:sz="4" w:space="0" w:color="auto"/>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adossés à des dépôts de la clientèle</w:t>
            </w:r>
          </w:p>
        </w:tc>
        <w:tc>
          <w:tcPr>
            <w:tcW w:w="1134"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autres</w:t>
            </w:r>
          </w:p>
        </w:tc>
        <w:tc>
          <w:tcPr>
            <w:tcW w:w="1842"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r>
      <w:tr w:rsidR="00D0626D" w:rsidRPr="009A07A5" w:rsidTr="00356876">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1181"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xml:space="preserve">en </w:t>
            </w:r>
            <w:proofErr w:type="gramStart"/>
            <w:r w:rsidRPr="009A07A5">
              <w:rPr>
                <w:rFonts w:ascii="Calibri" w:eastAsia="Times New Roman" w:hAnsi="Calibri" w:cs="Times New Roman"/>
                <w:color w:val="000000"/>
                <w:sz w:val="16"/>
                <w:szCs w:val="16"/>
                <w:lang w:eastAsia="fr-FR"/>
              </w:rPr>
              <w:t>devises</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en euros</w:t>
            </w:r>
          </w:p>
        </w:tc>
        <w:tc>
          <w:tcPr>
            <w:tcW w:w="1134"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rsidR="00D0626D" w:rsidRPr="009A07A5" w:rsidRDefault="00D0626D" w:rsidP="00356876">
            <w:pPr>
              <w:spacing w:after="0" w:line="240" w:lineRule="auto"/>
              <w:jc w:val="center"/>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 </w:t>
            </w:r>
          </w:p>
        </w:tc>
      </w:tr>
      <w:tr w:rsidR="00D0626D" w:rsidRPr="009A07A5" w:rsidTr="00356876">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2007</w:t>
            </w:r>
          </w:p>
        </w:tc>
        <w:tc>
          <w:tcPr>
            <w:tcW w:w="940"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63,814</w:t>
            </w:r>
          </w:p>
        </w:tc>
        <w:tc>
          <w:tcPr>
            <w:tcW w:w="1181"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31,173</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2,036</w:t>
            </w:r>
          </w:p>
        </w:tc>
        <w:tc>
          <w:tcPr>
            <w:tcW w:w="184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2,321</w:t>
            </w:r>
          </w:p>
        </w:tc>
        <w:tc>
          <w:tcPr>
            <w:tcW w:w="993"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28,012</w:t>
            </w:r>
          </w:p>
        </w:tc>
        <w:tc>
          <w:tcPr>
            <w:tcW w:w="99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0,272</w:t>
            </w:r>
          </w:p>
        </w:tc>
      </w:tr>
      <w:tr w:rsidR="00D0626D" w:rsidRPr="009A07A5" w:rsidTr="00356876">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2008</w:t>
            </w:r>
          </w:p>
        </w:tc>
        <w:tc>
          <w:tcPr>
            <w:tcW w:w="940"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86,882</w:t>
            </w:r>
          </w:p>
        </w:tc>
        <w:tc>
          <w:tcPr>
            <w:tcW w:w="1181"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60,422</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0,001</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0,749</w:t>
            </w:r>
          </w:p>
        </w:tc>
        <w:tc>
          <w:tcPr>
            <w:tcW w:w="184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3,029</w:t>
            </w:r>
          </w:p>
        </w:tc>
        <w:tc>
          <w:tcPr>
            <w:tcW w:w="993"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22,537</w:t>
            </w:r>
          </w:p>
        </w:tc>
        <w:tc>
          <w:tcPr>
            <w:tcW w:w="99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0,144</w:t>
            </w:r>
          </w:p>
        </w:tc>
      </w:tr>
      <w:tr w:rsidR="00D0626D" w:rsidRPr="009A07A5" w:rsidTr="00356876">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2009</w:t>
            </w:r>
          </w:p>
        </w:tc>
        <w:tc>
          <w:tcPr>
            <w:tcW w:w="940"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97,483</w:t>
            </w:r>
          </w:p>
        </w:tc>
        <w:tc>
          <w:tcPr>
            <w:tcW w:w="1181"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44,845</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15,409</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6,050</w:t>
            </w:r>
          </w:p>
        </w:tc>
        <w:tc>
          <w:tcPr>
            <w:tcW w:w="184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3,670</w:t>
            </w:r>
          </w:p>
        </w:tc>
        <w:tc>
          <w:tcPr>
            <w:tcW w:w="993"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27,398</w:t>
            </w:r>
          </w:p>
        </w:tc>
        <w:tc>
          <w:tcPr>
            <w:tcW w:w="99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0,111</w:t>
            </w:r>
          </w:p>
        </w:tc>
      </w:tr>
      <w:tr w:rsidR="00D0626D" w:rsidRPr="009A07A5" w:rsidTr="00356876">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2010</w:t>
            </w:r>
          </w:p>
        </w:tc>
        <w:tc>
          <w:tcPr>
            <w:tcW w:w="940"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88,480</w:t>
            </w:r>
          </w:p>
        </w:tc>
        <w:tc>
          <w:tcPr>
            <w:tcW w:w="1181"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41,448</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17,536</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0,722</w:t>
            </w:r>
          </w:p>
        </w:tc>
        <w:tc>
          <w:tcPr>
            <w:tcW w:w="184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4,427</w:t>
            </w:r>
          </w:p>
        </w:tc>
        <w:tc>
          <w:tcPr>
            <w:tcW w:w="993"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24,218</w:t>
            </w:r>
          </w:p>
        </w:tc>
        <w:tc>
          <w:tcPr>
            <w:tcW w:w="99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0,129</w:t>
            </w:r>
          </w:p>
        </w:tc>
      </w:tr>
      <w:tr w:rsidR="00D0626D" w:rsidRPr="009A07A5" w:rsidTr="00356876">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2011</w:t>
            </w:r>
          </w:p>
        </w:tc>
        <w:tc>
          <w:tcPr>
            <w:tcW w:w="940"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100,964</w:t>
            </w:r>
          </w:p>
        </w:tc>
        <w:tc>
          <w:tcPr>
            <w:tcW w:w="1181"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57,221</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13,598</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0,651</w:t>
            </w:r>
          </w:p>
        </w:tc>
        <w:tc>
          <w:tcPr>
            <w:tcW w:w="184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4,403</w:t>
            </w:r>
          </w:p>
        </w:tc>
        <w:tc>
          <w:tcPr>
            <w:tcW w:w="993"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24,901</w:t>
            </w:r>
          </w:p>
        </w:tc>
        <w:tc>
          <w:tcPr>
            <w:tcW w:w="99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0,190</w:t>
            </w:r>
          </w:p>
        </w:tc>
      </w:tr>
      <w:tr w:rsidR="00D0626D" w:rsidRPr="009A07A5" w:rsidTr="00356876">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2012</w:t>
            </w:r>
          </w:p>
        </w:tc>
        <w:tc>
          <w:tcPr>
            <w:tcW w:w="940"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112,660</w:t>
            </w:r>
          </w:p>
        </w:tc>
        <w:tc>
          <w:tcPr>
            <w:tcW w:w="1181"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52,040</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18,900</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0,491</w:t>
            </w:r>
          </w:p>
        </w:tc>
        <w:tc>
          <w:tcPr>
            <w:tcW w:w="184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4,931</w:t>
            </w:r>
          </w:p>
        </w:tc>
        <w:tc>
          <w:tcPr>
            <w:tcW w:w="993"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36,219</w:t>
            </w:r>
          </w:p>
        </w:tc>
        <w:tc>
          <w:tcPr>
            <w:tcW w:w="99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0,079</w:t>
            </w:r>
          </w:p>
        </w:tc>
      </w:tr>
      <w:tr w:rsidR="00D0626D" w:rsidRPr="009A07A5" w:rsidTr="00356876">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2013</w:t>
            </w:r>
          </w:p>
        </w:tc>
        <w:tc>
          <w:tcPr>
            <w:tcW w:w="940"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87,770</w:t>
            </w:r>
          </w:p>
        </w:tc>
        <w:tc>
          <w:tcPr>
            <w:tcW w:w="1181"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54,269</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16,616</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0,437</w:t>
            </w:r>
          </w:p>
        </w:tc>
        <w:tc>
          <w:tcPr>
            <w:tcW w:w="184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5,628</w:t>
            </w:r>
          </w:p>
        </w:tc>
        <w:tc>
          <w:tcPr>
            <w:tcW w:w="993"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10,747</w:t>
            </w:r>
          </w:p>
        </w:tc>
        <w:tc>
          <w:tcPr>
            <w:tcW w:w="99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0,074</w:t>
            </w:r>
          </w:p>
        </w:tc>
      </w:tr>
      <w:tr w:rsidR="00D0626D" w:rsidRPr="009A07A5" w:rsidTr="00356876">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2014</w:t>
            </w:r>
          </w:p>
        </w:tc>
        <w:tc>
          <w:tcPr>
            <w:tcW w:w="940"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90,763</w:t>
            </w:r>
          </w:p>
        </w:tc>
        <w:tc>
          <w:tcPr>
            <w:tcW w:w="1181"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56,749</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12,776</w:t>
            </w:r>
          </w:p>
        </w:tc>
        <w:tc>
          <w:tcPr>
            <w:tcW w:w="1134"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0,125</w:t>
            </w:r>
          </w:p>
        </w:tc>
        <w:tc>
          <w:tcPr>
            <w:tcW w:w="184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9,778</w:t>
            </w:r>
          </w:p>
        </w:tc>
        <w:tc>
          <w:tcPr>
            <w:tcW w:w="993"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11,404</w:t>
            </w:r>
          </w:p>
        </w:tc>
        <w:tc>
          <w:tcPr>
            <w:tcW w:w="992" w:type="dxa"/>
            <w:tcBorders>
              <w:top w:val="nil"/>
              <w:left w:val="nil"/>
              <w:bottom w:val="single" w:sz="4" w:space="0" w:color="auto"/>
              <w:right w:val="single" w:sz="4" w:space="0" w:color="auto"/>
            </w:tcBorders>
            <w:shd w:val="clear" w:color="auto" w:fill="auto"/>
            <w:noWrap/>
            <w:vAlign w:val="center"/>
            <w:hideMark/>
          </w:tcPr>
          <w:p w:rsidR="00D0626D" w:rsidRPr="009A07A5" w:rsidRDefault="00D0626D" w:rsidP="00356876">
            <w:pPr>
              <w:spacing w:after="0" w:line="240" w:lineRule="auto"/>
              <w:jc w:val="right"/>
              <w:rPr>
                <w:rFonts w:ascii="Calibri" w:eastAsia="Times New Roman" w:hAnsi="Calibri" w:cs="Times New Roman"/>
                <w:color w:val="000000"/>
                <w:sz w:val="16"/>
                <w:szCs w:val="16"/>
                <w:lang w:eastAsia="fr-FR"/>
              </w:rPr>
            </w:pPr>
            <w:r w:rsidRPr="009A07A5">
              <w:rPr>
                <w:rFonts w:ascii="Calibri" w:eastAsia="Times New Roman" w:hAnsi="Calibri" w:cs="Times New Roman"/>
                <w:color w:val="000000"/>
                <w:sz w:val="16"/>
                <w:szCs w:val="16"/>
                <w:lang w:eastAsia="fr-FR"/>
              </w:rPr>
              <w:t>0,031</w:t>
            </w:r>
          </w:p>
        </w:tc>
      </w:tr>
    </w:tbl>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r>
        <w:rPr>
          <w:rFonts w:eastAsia="Times New Roman" w:cs="Times New Roman"/>
          <w:lang w:eastAsia="fr-FR"/>
        </w:rPr>
        <w:t xml:space="preserve">Il faut remarquer que les titres à revenus fixe contenus dans ce poste </w:t>
      </w:r>
      <w:r w:rsidRPr="007D3EB5">
        <w:rPr>
          <w:rFonts w:eastAsia="Times New Roman" w:cs="Times New Roman"/>
          <w:lang w:eastAsia="fr-FR"/>
        </w:rPr>
        <w:t xml:space="preserve">« autres actifs </w:t>
      </w:r>
      <w:r w:rsidRPr="007D3EB5">
        <w:t>financiers</w:t>
      </w:r>
      <w:r w:rsidRPr="007D3EB5">
        <w:rPr>
          <w:rFonts w:eastAsia="Times New Roman" w:cs="Times New Roman"/>
          <w:lang w:eastAsia="fr-FR"/>
        </w:rPr>
        <w:t xml:space="preserve"> en euros et en devises » sont presque entièrement des effets publics. </w:t>
      </w:r>
      <w:r>
        <w:rPr>
          <w:rFonts w:eastAsia="Times New Roman" w:cs="Times New Roman"/>
          <w:lang w:eastAsia="fr-FR"/>
        </w:rPr>
        <w:t xml:space="preserve">Ce sont toutefois, pour l’essentiel, des obligations publiques en devises étrangères. Il a donc là peu de détention d’obligations publiques en </w:t>
      </w:r>
      <w:r>
        <w:rPr>
          <w:rFonts w:eastAsia="Times New Roman" w:cs="Times New Roman"/>
          <w:lang w:eastAsia="fr-FR"/>
        </w:rPr>
        <w:lastRenderedPageBreak/>
        <w:t xml:space="preserve">euros émises par des administrations publiques de la zone euro, et évidemment alors extrêmement peu d’obligations publiques françaises en euros. Les obligations publiques en euro, dont des françaises, qui sont inclues ici, le sont essentiellement en contrepartie partielle des fonds propres, provisions et de la réserve spéciale des employés, au passif. </w:t>
      </w:r>
      <w:r w:rsidRPr="00A8626B">
        <w:rPr>
          <w:rFonts w:eastAsia="Times New Roman" w:cs="Times New Roman"/>
          <w:b/>
          <w:lang w:eastAsia="fr-FR"/>
        </w:rPr>
        <w:t>Ce sont donc des achats de titres financés d’une autre manière que par émission monétaire</w:t>
      </w:r>
      <w:r>
        <w:rPr>
          <w:rFonts w:eastAsia="Times New Roman" w:cs="Times New Roman"/>
          <w:lang w:eastAsia="fr-FR"/>
        </w:rPr>
        <w:t>.</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center"/>
        <w:rPr>
          <w:rFonts w:ascii="Calibri" w:eastAsia="Times New Roman" w:hAnsi="Calibri" w:cs="Times New Roman"/>
          <w:b/>
          <w:color w:val="000000"/>
          <w:lang w:eastAsia="fr-FR"/>
        </w:rPr>
      </w:pPr>
      <w:r w:rsidRPr="00E83E33">
        <w:rPr>
          <w:rFonts w:eastAsia="Times New Roman" w:cs="Times New Roman"/>
          <w:b/>
          <w:lang w:eastAsia="fr-FR"/>
        </w:rPr>
        <w:t xml:space="preserve">Rubrique p10 </w:t>
      </w:r>
      <w:proofErr w:type="gramStart"/>
      <w:r w:rsidRPr="00E83E33">
        <w:rPr>
          <w:rFonts w:eastAsia="Times New Roman" w:cs="Times New Roman"/>
          <w:b/>
          <w:lang w:eastAsia="fr-FR"/>
        </w:rPr>
        <w:t xml:space="preserve">du passif </w:t>
      </w:r>
      <w:r w:rsidRPr="00E83E33">
        <w:rPr>
          <w:rFonts w:ascii="Calibri" w:eastAsia="Times New Roman" w:hAnsi="Calibri" w:cs="Times New Roman"/>
          <w:b/>
          <w:color w:val="000000"/>
          <w:lang w:eastAsia="fr-FR"/>
        </w:rPr>
        <w:t>opérations bancaires</w:t>
      </w:r>
      <w:proofErr w:type="gramEnd"/>
    </w:p>
    <w:p w:rsidR="00D0626D" w:rsidRPr="00E83E33" w:rsidRDefault="00D0626D" w:rsidP="00D0626D">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Milliards d’€</w:t>
      </w:r>
    </w:p>
    <w:p w:rsidR="00D0626D" w:rsidRDefault="00D0626D" w:rsidP="00D0626D">
      <w:pPr>
        <w:spacing w:after="0" w:line="240" w:lineRule="auto"/>
        <w:jc w:val="both"/>
        <w:rPr>
          <w:rFonts w:ascii="Calibri" w:eastAsia="Times New Roman" w:hAnsi="Calibri" w:cs="Times New Roman"/>
          <w:color w:val="000000"/>
          <w:sz w:val="16"/>
          <w:szCs w:val="16"/>
          <w:lang w:eastAsia="fr-FR"/>
        </w:rPr>
      </w:pPr>
    </w:p>
    <w:p w:rsidR="00D0626D" w:rsidRDefault="00D0626D" w:rsidP="00D0626D">
      <w:pPr>
        <w:spacing w:after="0" w:line="240" w:lineRule="auto"/>
        <w:jc w:val="both"/>
        <w:rPr>
          <w:rFonts w:eastAsia="Times New Roman" w:cs="Times New Roman"/>
          <w:lang w:eastAsia="fr-FR"/>
        </w:rPr>
      </w:pPr>
    </w:p>
    <w:tbl>
      <w:tblPr>
        <w:tblW w:w="4720" w:type="dxa"/>
        <w:jc w:val="center"/>
        <w:tblCellMar>
          <w:left w:w="70" w:type="dxa"/>
          <w:right w:w="70" w:type="dxa"/>
        </w:tblCellMar>
        <w:tblLook w:val="04A0" w:firstRow="1" w:lastRow="0" w:firstColumn="1" w:lastColumn="0" w:noHBand="0" w:noVBand="1"/>
      </w:tblPr>
      <w:tblGrid>
        <w:gridCol w:w="1200"/>
        <w:gridCol w:w="3520"/>
      </w:tblGrid>
      <w:tr w:rsidR="00D0626D" w:rsidRPr="00E83E33" w:rsidTr="00356876">
        <w:trPr>
          <w:trHeight w:val="45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26D" w:rsidRPr="00E83E33" w:rsidRDefault="00D0626D" w:rsidP="00356876">
            <w:pPr>
              <w:spacing w:after="0" w:line="240" w:lineRule="auto"/>
              <w:jc w:val="center"/>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 </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D0626D" w:rsidRPr="00E83E33" w:rsidRDefault="00D0626D" w:rsidP="00356876">
            <w:pPr>
              <w:spacing w:after="0" w:line="240" w:lineRule="auto"/>
              <w:jc w:val="center"/>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opérations bancaires</w:t>
            </w:r>
          </w:p>
        </w:tc>
      </w:tr>
      <w:tr w:rsidR="00D0626D" w:rsidRPr="00E83E33" w:rsidTr="00356876">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0626D" w:rsidRPr="00E83E33" w:rsidRDefault="00D0626D" w:rsidP="00356876">
            <w:pPr>
              <w:spacing w:after="0" w:line="240" w:lineRule="auto"/>
              <w:jc w:val="center"/>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 </w:t>
            </w:r>
          </w:p>
        </w:tc>
        <w:tc>
          <w:tcPr>
            <w:tcW w:w="3520" w:type="dxa"/>
            <w:tcBorders>
              <w:top w:val="nil"/>
              <w:left w:val="nil"/>
              <w:bottom w:val="single" w:sz="4" w:space="0" w:color="auto"/>
              <w:right w:val="single" w:sz="4" w:space="0" w:color="auto"/>
            </w:tcBorders>
            <w:shd w:val="clear" w:color="auto" w:fill="auto"/>
            <w:vAlign w:val="center"/>
            <w:hideMark/>
          </w:tcPr>
          <w:p w:rsidR="00D0626D" w:rsidRPr="00E83E33" w:rsidRDefault="00D0626D" w:rsidP="00356876">
            <w:pPr>
              <w:spacing w:after="0" w:line="240" w:lineRule="auto"/>
              <w:jc w:val="center"/>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dépôts en devises étrangères d'organismes publics français ou ét</w:t>
            </w:r>
            <w:r>
              <w:rPr>
                <w:rFonts w:ascii="Calibri" w:eastAsia="Times New Roman" w:hAnsi="Calibri" w:cs="Times New Roman"/>
                <w:color w:val="000000"/>
                <w:sz w:val="16"/>
                <w:szCs w:val="16"/>
                <w:lang w:eastAsia="fr-FR"/>
              </w:rPr>
              <w:t>r</w:t>
            </w:r>
            <w:r w:rsidRPr="00E83E33">
              <w:rPr>
                <w:rFonts w:ascii="Calibri" w:eastAsia="Times New Roman" w:hAnsi="Calibri" w:cs="Times New Roman"/>
                <w:color w:val="000000"/>
                <w:sz w:val="16"/>
                <w:szCs w:val="16"/>
                <w:lang w:eastAsia="fr-FR"/>
              </w:rPr>
              <w:t>angers ou des banques centrales étrangères</w:t>
            </w:r>
          </w:p>
        </w:tc>
      </w:tr>
      <w:tr w:rsidR="00D0626D" w:rsidRPr="00E83E33"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E83E33" w:rsidRDefault="00D0626D" w:rsidP="00356876">
            <w:pPr>
              <w:spacing w:after="0" w:line="240" w:lineRule="auto"/>
              <w:jc w:val="right"/>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2007</w:t>
            </w:r>
          </w:p>
        </w:tc>
        <w:tc>
          <w:tcPr>
            <w:tcW w:w="3520" w:type="dxa"/>
            <w:tcBorders>
              <w:top w:val="nil"/>
              <w:left w:val="nil"/>
              <w:bottom w:val="single" w:sz="4" w:space="0" w:color="auto"/>
              <w:right w:val="single" w:sz="4" w:space="0" w:color="auto"/>
            </w:tcBorders>
            <w:shd w:val="clear" w:color="auto" w:fill="auto"/>
            <w:noWrap/>
            <w:vAlign w:val="bottom"/>
            <w:hideMark/>
          </w:tcPr>
          <w:p w:rsidR="00D0626D" w:rsidRPr="008D4215" w:rsidRDefault="00D0626D" w:rsidP="00356876">
            <w:pPr>
              <w:spacing w:after="0" w:line="240" w:lineRule="auto"/>
              <w:jc w:val="center"/>
              <w:rPr>
                <w:rFonts w:ascii="Calibri" w:eastAsia="Times New Roman" w:hAnsi="Calibri" w:cs="Times New Roman"/>
                <w:color w:val="000000"/>
                <w:sz w:val="16"/>
                <w:szCs w:val="16"/>
                <w:lang w:eastAsia="fr-FR"/>
              </w:rPr>
            </w:pPr>
            <w:r w:rsidRPr="008D4215">
              <w:rPr>
                <w:rFonts w:ascii="Calibri" w:eastAsia="Times New Roman" w:hAnsi="Calibri" w:cs="Times New Roman"/>
                <w:color w:val="000000"/>
                <w:sz w:val="16"/>
                <w:szCs w:val="16"/>
                <w:lang w:eastAsia="fr-FR"/>
              </w:rPr>
              <w:t>54,366</w:t>
            </w:r>
          </w:p>
        </w:tc>
      </w:tr>
      <w:tr w:rsidR="00D0626D" w:rsidRPr="00E83E33"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E83E33" w:rsidRDefault="00D0626D" w:rsidP="00356876">
            <w:pPr>
              <w:spacing w:after="0" w:line="240" w:lineRule="auto"/>
              <w:jc w:val="right"/>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2008</w:t>
            </w:r>
          </w:p>
        </w:tc>
        <w:tc>
          <w:tcPr>
            <w:tcW w:w="3520" w:type="dxa"/>
            <w:tcBorders>
              <w:top w:val="nil"/>
              <w:left w:val="nil"/>
              <w:bottom w:val="single" w:sz="4" w:space="0" w:color="auto"/>
              <w:right w:val="single" w:sz="4" w:space="0" w:color="auto"/>
            </w:tcBorders>
            <w:shd w:val="clear" w:color="auto" w:fill="auto"/>
            <w:noWrap/>
            <w:vAlign w:val="bottom"/>
            <w:hideMark/>
          </w:tcPr>
          <w:p w:rsidR="00D0626D" w:rsidRPr="008D4215" w:rsidRDefault="00D0626D" w:rsidP="00356876">
            <w:pPr>
              <w:spacing w:after="0" w:line="240" w:lineRule="auto"/>
              <w:jc w:val="center"/>
              <w:rPr>
                <w:rFonts w:ascii="Calibri" w:eastAsia="Times New Roman" w:hAnsi="Calibri" w:cs="Times New Roman"/>
                <w:color w:val="000000"/>
                <w:sz w:val="16"/>
                <w:szCs w:val="16"/>
                <w:lang w:eastAsia="fr-FR"/>
              </w:rPr>
            </w:pPr>
            <w:r w:rsidRPr="008D4215">
              <w:rPr>
                <w:rFonts w:ascii="Calibri" w:eastAsia="Times New Roman" w:hAnsi="Calibri" w:cs="Times New Roman"/>
                <w:color w:val="000000"/>
                <w:sz w:val="16"/>
                <w:szCs w:val="16"/>
                <w:lang w:eastAsia="fr-FR"/>
              </w:rPr>
              <w:t>74,465</w:t>
            </w:r>
          </w:p>
        </w:tc>
      </w:tr>
      <w:tr w:rsidR="00D0626D" w:rsidRPr="00E83E33"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E83E33" w:rsidRDefault="00D0626D" w:rsidP="00356876">
            <w:pPr>
              <w:spacing w:after="0" w:line="240" w:lineRule="auto"/>
              <w:jc w:val="right"/>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2009</w:t>
            </w:r>
          </w:p>
        </w:tc>
        <w:tc>
          <w:tcPr>
            <w:tcW w:w="3520" w:type="dxa"/>
            <w:tcBorders>
              <w:top w:val="nil"/>
              <w:left w:val="nil"/>
              <w:bottom w:val="single" w:sz="4" w:space="0" w:color="auto"/>
              <w:right w:val="single" w:sz="4" w:space="0" w:color="auto"/>
            </w:tcBorders>
            <w:shd w:val="clear" w:color="auto" w:fill="auto"/>
            <w:noWrap/>
            <w:vAlign w:val="bottom"/>
            <w:hideMark/>
          </w:tcPr>
          <w:p w:rsidR="00D0626D" w:rsidRPr="008D4215" w:rsidRDefault="00D0626D" w:rsidP="00356876">
            <w:pPr>
              <w:spacing w:after="0" w:line="240" w:lineRule="auto"/>
              <w:jc w:val="center"/>
              <w:rPr>
                <w:rFonts w:ascii="Calibri" w:eastAsia="Times New Roman" w:hAnsi="Calibri" w:cs="Times New Roman"/>
                <w:color w:val="000000"/>
                <w:sz w:val="16"/>
                <w:szCs w:val="16"/>
                <w:lang w:eastAsia="fr-FR"/>
              </w:rPr>
            </w:pPr>
            <w:r w:rsidRPr="008D4215">
              <w:rPr>
                <w:rFonts w:ascii="Calibri" w:eastAsia="Times New Roman" w:hAnsi="Calibri" w:cs="Times New Roman"/>
                <w:color w:val="000000"/>
                <w:sz w:val="16"/>
                <w:szCs w:val="16"/>
                <w:lang w:eastAsia="fr-FR"/>
              </w:rPr>
              <w:t>84,091</w:t>
            </w:r>
          </w:p>
        </w:tc>
      </w:tr>
      <w:tr w:rsidR="00D0626D" w:rsidRPr="00E83E33"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E83E33" w:rsidRDefault="00D0626D" w:rsidP="00356876">
            <w:pPr>
              <w:spacing w:after="0" w:line="240" w:lineRule="auto"/>
              <w:jc w:val="right"/>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2010</w:t>
            </w:r>
          </w:p>
        </w:tc>
        <w:tc>
          <w:tcPr>
            <w:tcW w:w="3520" w:type="dxa"/>
            <w:tcBorders>
              <w:top w:val="nil"/>
              <w:left w:val="nil"/>
              <w:bottom w:val="single" w:sz="4" w:space="0" w:color="auto"/>
              <w:right w:val="single" w:sz="4" w:space="0" w:color="auto"/>
            </w:tcBorders>
            <w:shd w:val="clear" w:color="auto" w:fill="auto"/>
            <w:noWrap/>
            <w:vAlign w:val="bottom"/>
            <w:hideMark/>
          </w:tcPr>
          <w:p w:rsidR="00D0626D" w:rsidRPr="008D4215" w:rsidRDefault="00D0626D" w:rsidP="00356876">
            <w:pPr>
              <w:spacing w:after="0" w:line="240" w:lineRule="auto"/>
              <w:jc w:val="center"/>
              <w:rPr>
                <w:rFonts w:ascii="Calibri" w:eastAsia="Times New Roman" w:hAnsi="Calibri" w:cs="Times New Roman"/>
                <w:color w:val="000000"/>
                <w:sz w:val="16"/>
                <w:szCs w:val="16"/>
                <w:lang w:eastAsia="fr-FR"/>
              </w:rPr>
            </w:pPr>
            <w:r w:rsidRPr="008D4215">
              <w:rPr>
                <w:rFonts w:ascii="Calibri" w:eastAsia="Times New Roman" w:hAnsi="Calibri" w:cs="Times New Roman"/>
                <w:color w:val="000000"/>
                <w:sz w:val="16"/>
                <w:szCs w:val="16"/>
                <w:lang w:eastAsia="fr-FR"/>
              </w:rPr>
              <w:t>91,818</w:t>
            </w:r>
          </w:p>
        </w:tc>
      </w:tr>
      <w:tr w:rsidR="00D0626D" w:rsidRPr="00E83E33"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E83E33" w:rsidRDefault="00D0626D" w:rsidP="00356876">
            <w:pPr>
              <w:spacing w:after="0" w:line="240" w:lineRule="auto"/>
              <w:jc w:val="right"/>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2011</w:t>
            </w:r>
          </w:p>
        </w:tc>
        <w:tc>
          <w:tcPr>
            <w:tcW w:w="3520" w:type="dxa"/>
            <w:tcBorders>
              <w:top w:val="nil"/>
              <w:left w:val="nil"/>
              <w:bottom w:val="single" w:sz="4" w:space="0" w:color="auto"/>
              <w:right w:val="single" w:sz="4" w:space="0" w:color="auto"/>
            </w:tcBorders>
            <w:shd w:val="clear" w:color="auto" w:fill="auto"/>
            <w:noWrap/>
            <w:vAlign w:val="bottom"/>
            <w:hideMark/>
          </w:tcPr>
          <w:p w:rsidR="00D0626D" w:rsidRPr="008D4215" w:rsidRDefault="00D0626D" w:rsidP="00356876">
            <w:pPr>
              <w:spacing w:after="0" w:line="240" w:lineRule="auto"/>
              <w:jc w:val="center"/>
              <w:rPr>
                <w:rFonts w:ascii="Calibri" w:eastAsia="Times New Roman" w:hAnsi="Calibri" w:cs="Times New Roman"/>
                <w:color w:val="000000"/>
                <w:sz w:val="16"/>
                <w:szCs w:val="16"/>
                <w:lang w:eastAsia="fr-FR"/>
              </w:rPr>
            </w:pPr>
            <w:r w:rsidRPr="008D4215">
              <w:rPr>
                <w:rFonts w:ascii="Calibri" w:eastAsia="Times New Roman" w:hAnsi="Calibri" w:cs="Times New Roman"/>
                <w:color w:val="000000"/>
                <w:sz w:val="16"/>
                <w:szCs w:val="16"/>
                <w:lang w:eastAsia="fr-FR"/>
              </w:rPr>
              <w:t>118,924</w:t>
            </w:r>
          </w:p>
        </w:tc>
      </w:tr>
      <w:tr w:rsidR="00D0626D" w:rsidRPr="00E83E33"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E83E33" w:rsidRDefault="00D0626D" w:rsidP="00356876">
            <w:pPr>
              <w:spacing w:after="0" w:line="240" w:lineRule="auto"/>
              <w:jc w:val="right"/>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2012</w:t>
            </w:r>
          </w:p>
        </w:tc>
        <w:tc>
          <w:tcPr>
            <w:tcW w:w="3520" w:type="dxa"/>
            <w:tcBorders>
              <w:top w:val="nil"/>
              <w:left w:val="nil"/>
              <w:bottom w:val="single" w:sz="4" w:space="0" w:color="auto"/>
              <w:right w:val="single" w:sz="4" w:space="0" w:color="auto"/>
            </w:tcBorders>
            <w:shd w:val="clear" w:color="auto" w:fill="auto"/>
            <w:noWrap/>
            <w:vAlign w:val="bottom"/>
            <w:hideMark/>
          </w:tcPr>
          <w:p w:rsidR="00D0626D" w:rsidRPr="008D4215" w:rsidRDefault="00D0626D" w:rsidP="00356876">
            <w:pPr>
              <w:spacing w:after="0" w:line="240" w:lineRule="auto"/>
              <w:jc w:val="center"/>
              <w:rPr>
                <w:rFonts w:ascii="Calibri" w:eastAsia="Times New Roman" w:hAnsi="Calibri" w:cs="Times New Roman"/>
                <w:color w:val="000000"/>
                <w:sz w:val="16"/>
                <w:szCs w:val="16"/>
                <w:lang w:eastAsia="fr-FR"/>
              </w:rPr>
            </w:pPr>
            <w:r w:rsidRPr="008D4215">
              <w:rPr>
                <w:rFonts w:ascii="Calibri" w:eastAsia="Times New Roman" w:hAnsi="Calibri" w:cs="Times New Roman"/>
                <w:color w:val="000000"/>
                <w:sz w:val="16"/>
                <w:szCs w:val="16"/>
                <w:lang w:eastAsia="fr-FR"/>
              </w:rPr>
              <w:t>124,151</w:t>
            </w:r>
          </w:p>
        </w:tc>
      </w:tr>
      <w:tr w:rsidR="00D0626D" w:rsidRPr="00E83E33"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E83E33" w:rsidRDefault="00D0626D" w:rsidP="00356876">
            <w:pPr>
              <w:spacing w:after="0" w:line="240" w:lineRule="auto"/>
              <w:jc w:val="right"/>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2013</w:t>
            </w:r>
          </w:p>
        </w:tc>
        <w:tc>
          <w:tcPr>
            <w:tcW w:w="3520" w:type="dxa"/>
            <w:tcBorders>
              <w:top w:val="nil"/>
              <w:left w:val="nil"/>
              <w:bottom w:val="single" w:sz="4" w:space="0" w:color="auto"/>
              <w:right w:val="single" w:sz="4" w:space="0" w:color="auto"/>
            </w:tcBorders>
            <w:shd w:val="clear" w:color="auto" w:fill="auto"/>
            <w:noWrap/>
            <w:vAlign w:val="bottom"/>
            <w:hideMark/>
          </w:tcPr>
          <w:p w:rsidR="00D0626D" w:rsidRPr="008D4215" w:rsidRDefault="00D0626D" w:rsidP="00356876">
            <w:pPr>
              <w:spacing w:after="0" w:line="240" w:lineRule="auto"/>
              <w:jc w:val="center"/>
              <w:rPr>
                <w:rFonts w:ascii="Calibri" w:eastAsia="Times New Roman" w:hAnsi="Calibri" w:cs="Times New Roman"/>
                <w:color w:val="000000"/>
                <w:sz w:val="16"/>
                <w:szCs w:val="16"/>
                <w:lang w:eastAsia="fr-FR"/>
              </w:rPr>
            </w:pPr>
            <w:r w:rsidRPr="008D4215">
              <w:rPr>
                <w:rFonts w:ascii="Calibri" w:eastAsia="Times New Roman" w:hAnsi="Calibri" w:cs="Times New Roman"/>
                <w:color w:val="000000"/>
                <w:sz w:val="16"/>
                <w:szCs w:val="16"/>
                <w:lang w:eastAsia="fr-FR"/>
              </w:rPr>
              <w:t>101,903</w:t>
            </w:r>
          </w:p>
        </w:tc>
      </w:tr>
      <w:tr w:rsidR="00D0626D" w:rsidRPr="00E83E33"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E83E33" w:rsidRDefault="00D0626D" w:rsidP="00356876">
            <w:pPr>
              <w:spacing w:after="0" w:line="240" w:lineRule="auto"/>
              <w:jc w:val="right"/>
              <w:rPr>
                <w:rFonts w:ascii="Calibri" w:eastAsia="Times New Roman" w:hAnsi="Calibri" w:cs="Times New Roman"/>
                <w:color w:val="000000"/>
                <w:sz w:val="16"/>
                <w:szCs w:val="16"/>
                <w:lang w:eastAsia="fr-FR"/>
              </w:rPr>
            </w:pPr>
            <w:r w:rsidRPr="00E83E33">
              <w:rPr>
                <w:rFonts w:ascii="Calibri" w:eastAsia="Times New Roman" w:hAnsi="Calibri" w:cs="Times New Roman"/>
                <w:color w:val="000000"/>
                <w:sz w:val="16"/>
                <w:szCs w:val="16"/>
                <w:lang w:eastAsia="fr-FR"/>
              </w:rPr>
              <w:t>2014</w:t>
            </w:r>
          </w:p>
        </w:tc>
        <w:tc>
          <w:tcPr>
            <w:tcW w:w="3520" w:type="dxa"/>
            <w:tcBorders>
              <w:top w:val="nil"/>
              <w:left w:val="nil"/>
              <w:bottom w:val="single" w:sz="4" w:space="0" w:color="auto"/>
              <w:right w:val="single" w:sz="4" w:space="0" w:color="auto"/>
            </w:tcBorders>
            <w:shd w:val="clear" w:color="auto" w:fill="auto"/>
            <w:noWrap/>
            <w:vAlign w:val="bottom"/>
            <w:hideMark/>
          </w:tcPr>
          <w:p w:rsidR="00D0626D" w:rsidRPr="008D4215" w:rsidRDefault="00D0626D" w:rsidP="00356876">
            <w:pPr>
              <w:spacing w:after="0" w:line="240" w:lineRule="auto"/>
              <w:jc w:val="center"/>
              <w:rPr>
                <w:rFonts w:ascii="Calibri" w:eastAsia="Times New Roman" w:hAnsi="Calibri" w:cs="Times New Roman"/>
                <w:color w:val="000000"/>
                <w:sz w:val="16"/>
                <w:szCs w:val="16"/>
                <w:lang w:eastAsia="fr-FR"/>
              </w:rPr>
            </w:pPr>
            <w:r w:rsidRPr="008D4215">
              <w:rPr>
                <w:rFonts w:ascii="Calibri" w:eastAsia="Times New Roman" w:hAnsi="Calibri" w:cs="Times New Roman"/>
                <w:color w:val="000000"/>
                <w:sz w:val="16"/>
                <w:szCs w:val="16"/>
                <w:lang w:eastAsia="fr-FR"/>
              </w:rPr>
              <w:t>102,224</w:t>
            </w:r>
          </w:p>
        </w:tc>
      </w:tr>
    </w:tbl>
    <w:p w:rsidR="00D0626D" w:rsidRDefault="00D0626D" w:rsidP="00D0626D">
      <w:pPr>
        <w:spacing w:after="0" w:line="240" w:lineRule="auto"/>
        <w:jc w:val="both"/>
        <w:rPr>
          <w:rFonts w:eastAsia="Times New Roman" w:cs="Times New Roman"/>
          <w:lang w:eastAsia="fr-FR"/>
        </w:rPr>
      </w:pPr>
    </w:p>
    <w:p w:rsidR="00D0626D" w:rsidRPr="00174A70" w:rsidRDefault="00D0626D" w:rsidP="00D0626D">
      <w:pPr>
        <w:spacing w:after="0" w:line="240" w:lineRule="auto"/>
        <w:jc w:val="both"/>
        <w:rPr>
          <w:rFonts w:eastAsia="Times New Roman" w:cs="Times New Roman"/>
          <w:lang w:eastAsia="fr-FR"/>
        </w:rPr>
      </w:pPr>
    </w:p>
    <w:p w:rsidR="00D0626D" w:rsidRPr="00174A70" w:rsidRDefault="00D0626D" w:rsidP="00D0626D">
      <w:pPr>
        <w:spacing w:after="0" w:line="240" w:lineRule="auto"/>
        <w:jc w:val="center"/>
        <w:rPr>
          <w:rFonts w:ascii="Calibri" w:eastAsia="Times New Roman" w:hAnsi="Calibri" w:cs="Times New Roman"/>
          <w:b/>
          <w:color w:val="000000"/>
          <w:lang w:eastAsia="fr-FR"/>
        </w:rPr>
      </w:pPr>
      <w:r w:rsidRPr="00174A70">
        <w:rPr>
          <w:rFonts w:eastAsia="Times New Roman" w:cs="Times New Roman"/>
          <w:b/>
          <w:lang w:eastAsia="fr-FR"/>
        </w:rPr>
        <w:t xml:space="preserve">Rubrique p4 </w:t>
      </w:r>
      <w:proofErr w:type="gramStart"/>
      <w:r w:rsidRPr="00174A70">
        <w:rPr>
          <w:rFonts w:eastAsia="Times New Roman" w:cs="Times New Roman"/>
          <w:b/>
          <w:lang w:eastAsia="fr-FR"/>
        </w:rPr>
        <w:t xml:space="preserve">du passif </w:t>
      </w:r>
      <w:r w:rsidRPr="00174A70">
        <w:rPr>
          <w:rFonts w:ascii="Calibri" w:eastAsia="Times New Roman" w:hAnsi="Calibri" w:cs="Times New Roman"/>
          <w:b/>
          <w:color w:val="000000"/>
          <w:lang w:eastAsia="fr-FR"/>
        </w:rPr>
        <w:t>engagements</w:t>
      </w:r>
      <w:proofErr w:type="gramEnd"/>
      <w:r w:rsidRPr="00174A70">
        <w:rPr>
          <w:rFonts w:ascii="Calibri" w:eastAsia="Times New Roman" w:hAnsi="Calibri" w:cs="Times New Roman"/>
          <w:b/>
          <w:color w:val="000000"/>
          <w:lang w:eastAsia="fr-FR"/>
        </w:rPr>
        <w:t xml:space="preserve"> en euros envers des </w:t>
      </w:r>
      <w:proofErr w:type="spellStart"/>
      <w:r w:rsidRPr="00174A70">
        <w:rPr>
          <w:rFonts w:ascii="Calibri" w:eastAsia="Times New Roman" w:hAnsi="Calibri" w:cs="Times New Roman"/>
          <w:b/>
          <w:color w:val="000000"/>
          <w:lang w:eastAsia="fr-FR"/>
        </w:rPr>
        <w:t>non résidents</w:t>
      </w:r>
      <w:proofErr w:type="spellEnd"/>
      <w:r w:rsidRPr="00174A70">
        <w:rPr>
          <w:rFonts w:ascii="Calibri" w:eastAsia="Times New Roman" w:hAnsi="Calibri" w:cs="Times New Roman"/>
          <w:b/>
          <w:color w:val="000000"/>
          <w:lang w:eastAsia="fr-FR"/>
        </w:rPr>
        <w:t xml:space="preserve"> de la zone euro</w:t>
      </w:r>
    </w:p>
    <w:p w:rsidR="00D0626D" w:rsidRPr="00174A70" w:rsidRDefault="00D0626D" w:rsidP="00D0626D">
      <w:pPr>
        <w:spacing w:after="0" w:line="240" w:lineRule="auto"/>
        <w:jc w:val="center"/>
        <w:rPr>
          <w:rFonts w:ascii="Calibri" w:eastAsia="Times New Roman" w:hAnsi="Calibri" w:cs="Times New Roman"/>
          <w:b/>
          <w:color w:val="000000"/>
          <w:lang w:eastAsia="fr-FR"/>
        </w:rPr>
      </w:pPr>
      <w:r w:rsidRPr="00174A70">
        <w:rPr>
          <w:rFonts w:ascii="Calibri" w:eastAsia="Times New Roman" w:hAnsi="Calibri" w:cs="Times New Roman"/>
          <w:b/>
          <w:color w:val="000000"/>
          <w:lang w:eastAsia="fr-FR"/>
        </w:rPr>
        <w:t>Milliards d’€</w:t>
      </w:r>
    </w:p>
    <w:p w:rsidR="00D0626D" w:rsidRDefault="00D0626D" w:rsidP="00D0626D">
      <w:pPr>
        <w:spacing w:after="0" w:line="240" w:lineRule="auto"/>
        <w:jc w:val="both"/>
        <w:rPr>
          <w:rFonts w:ascii="Calibri" w:eastAsia="Times New Roman" w:hAnsi="Calibri" w:cs="Times New Roman"/>
          <w:color w:val="000000"/>
          <w:sz w:val="16"/>
          <w:szCs w:val="16"/>
          <w:lang w:eastAsia="fr-FR"/>
        </w:rPr>
      </w:pPr>
    </w:p>
    <w:p w:rsidR="00D0626D" w:rsidRDefault="00D0626D" w:rsidP="00D0626D">
      <w:pPr>
        <w:spacing w:after="0" w:line="240" w:lineRule="auto"/>
        <w:jc w:val="both"/>
        <w:rPr>
          <w:rFonts w:ascii="Calibri" w:eastAsia="Times New Roman" w:hAnsi="Calibri" w:cs="Times New Roman"/>
          <w:color w:val="000000"/>
          <w:sz w:val="16"/>
          <w:szCs w:val="16"/>
          <w:lang w:eastAsia="fr-FR"/>
        </w:rPr>
      </w:pPr>
    </w:p>
    <w:tbl>
      <w:tblPr>
        <w:tblW w:w="4120" w:type="dxa"/>
        <w:jc w:val="center"/>
        <w:tblCellMar>
          <w:left w:w="70" w:type="dxa"/>
          <w:right w:w="70" w:type="dxa"/>
        </w:tblCellMar>
        <w:tblLook w:val="04A0" w:firstRow="1" w:lastRow="0" w:firstColumn="1" w:lastColumn="0" w:noHBand="0" w:noVBand="1"/>
      </w:tblPr>
      <w:tblGrid>
        <w:gridCol w:w="1200"/>
        <w:gridCol w:w="2920"/>
      </w:tblGrid>
      <w:tr w:rsidR="00D0626D" w:rsidRPr="00174A70" w:rsidTr="00356876">
        <w:trPr>
          <w:trHeight w:val="9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 </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comprend des dépôts en euros de la clientèle hors zone euro comme des banques centrales et des organismes internationaux</w:t>
            </w:r>
          </w:p>
        </w:tc>
      </w:tr>
      <w:tr w:rsidR="00D0626D" w:rsidRPr="00174A70"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2007</w:t>
            </w:r>
          </w:p>
        </w:tc>
        <w:tc>
          <w:tcPr>
            <w:tcW w:w="2920" w:type="dxa"/>
            <w:tcBorders>
              <w:top w:val="nil"/>
              <w:left w:val="nil"/>
              <w:bottom w:val="single" w:sz="4" w:space="0" w:color="auto"/>
              <w:right w:val="single" w:sz="4" w:space="0" w:color="auto"/>
            </w:tcBorders>
            <w:shd w:val="clear" w:color="auto" w:fill="auto"/>
            <w:noWrap/>
            <w:vAlign w:val="bottom"/>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10,737</w:t>
            </w:r>
          </w:p>
        </w:tc>
      </w:tr>
      <w:tr w:rsidR="00D0626D" w:rsidRPr="00174A70"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2008</w:t>
            </w:r>
          </w:p>
        </w:tc>
        <w:tc>
          <w:tcPr>
            <w:tcW w:w="2920" w:type="dxa"/>
            <w:tcBorders>
              <w:top w:val="nil"/>
              <w:left w:val="nil"/>
              <w:bottom w:val="single" w:sz="4" w:space="0" w:color="auto"/>
              <w:right w:val="single" w:sz="4" w:space="0" w:color="auto"/>
            </w:tcBorders>
            <w:shd w:val="clear" w:color="auto" w:fill="auto"/>
            <w:noWrap/>
            <w:vAlign w:val="bottom"/>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21,566</w:t>
            </w:r>
          </w:p>
        </w:tc>
      </w:tr>
      <w:tr w:rsidR="00D0626D" w:rsidRPr="00174A70"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2009</w:t>
            </w:r>
          </w:p>
        </w:tc>
        <w:tc>
          <w:tcPr>
            <w:tcW w:w="2920" w:type="dxa"/>
            <w:tcBorders>
              <w:top w:val="nil"/>
              <w:left w:val="nil"/>
              <w:bottom w:val="single" w:sz="4" w:space="0" w:color="auto"/>
              <w:right w:val="single" w:sz="4" w:space="0" w:color="auto"/>
            </w:tcBorders>
            <w:shd w:val="clear" w:color="auto" w:fill="auto"/>
            <w:noWrap/>
            <w:vAlign w:val="bottom"/>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22,375</w:t>
            </w:r>
          </w:p>
        </w:tc>
      </w:tr>
      <w:tr w:rsidR="00D0626D" w:rsidRPr="00174A70"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2010</w:t>
            </w:r>
          </w:p>
        </w:tc>
        <w:tc>
          <w:tcPr>
            <w:tcW w:w="2920" w:type="dxa"/>
            <w:tcBorders>
              <w:top w:val="nil"/>
              <w:left w:val="nil"/>
              <w:bottom w:val="single" w:sz="4" w:space="0" w:color="auto"/>
              <w:right w:val="single" w:sz="4" w:space="0" w:color="auto"/>
            </w:tcBorders>
            <w:shd w:val="clear" w:color="auto" w:fill="auto"/>
            <w:noWrap/>
            <w:vAlign w:val="bottom"/>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20,042</w:t>
            </w:r>
          </w:p>
        </w:tc>
      </w:tr>
      <w:tr w:rsidR="00D0626D" w:rsidRPr="00174A70"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2011</w:t>
            </w:r>
          </w:p>
        </w:tc>
        <w:tc>
          <w:tcPr>
            <w:tcW w:w="2920" w:type="dxa"/>
            <w:tcBorders>
              <w:top w:val="nil"/>
              <w:left w:val="nil"/>
              <w:bottom w:val="single" w:sz="4" w:space="0" w:color="auto"/>
              <w:right w:val="single" w:sz="4" w:space="0" w:color="auto"/>
            </w:tcBorders>
            <w:shd w:val="clear" w:color="auto" w:fill="auto"/>
            <w:noWrap/>
            <w:vAlign w:val="bottom"/>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18,699</w:t>
            </w:r>
          </w:p>
        </w:tc>
      </w:tr>
      <w:tr w:rsidR="00D0626D" w:rsidRPr="00174A70"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2012</w:t>
            </w:r>
          </w:p>
        </w:tc>
        <w:tc>
          <w:tcPr>
            <w:tcW w:w="2920" w:type="dxa"/>
            <w:tcBorders>
              <w:top w:val="nil"/>
              <w:left w:val="nil"/>
              <w:bottom w:val="single" w:sz="4" w:space="0" w:color="auto"/>
              <w:right w:val="single" w:sz="4" w:space="0" w:color="auto"/>
            </w:tcBorders>
            <w:shd w:val="clear" w:color="auto" w:fill="auto"/>
            <w:noWrap/>
            <w:vAlign w:val="bottom"/>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35,593</w:t>
            </w:r>
          </w:p>
        </w:tc>
      </w:tr>
      <w:tr w:rsidR="00D0626D" w:rsidRPr="00174A70"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2013</w:t>
            </w:r>
          </w:p>
        </w:tc>
        <w:tc>
          <w:tcPr>
            <w:tcW w:w="2920" w:type="dxa"/>
            <w:tcBorders>
              <w:top w:val="nil"/>
              <w:left w:val="nil"/>
              <w:bottom w:val="single" w:sz="4" w:space="0" w:color="auto"/>
              <w:right w:val="single" w:sz="4" w:space="0" w:color="auto"/>
            </w:tcBorders>
            <w:shd w:val="clear" w:color="auto" w:fill="auto"/>
            <w:noWrap/>
            <w:vAlign w:val="bottom"/>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28,067</w:t>
            </w:r>
          </w:p>
        </w:tc>
      </w:tr>
      <w:tr w:rsidR="00D0626D" w:rsidRPr="00174A70"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2014</w:t>
            </w:r>
          </w:p>
        </w:tc>
        <w:tc>
          <w:tcPr>
            <w:tcW w:w="2920" w:type="dxa"/>
            <w:tcBorders>
              <w:top w:val="nil"/>
              <w:left w:val="nil"/>
              <w:bottom w:val="single" w:sz="4" w:space="0" w:color="auto"/>
              <w:right w:val="single" w:sz="4" w:space="0" w:color="auto"/>
            </w:tcBorders>
            <w:shd w:val="clear" w:color="auto" w:fill="auto"/>
            <w:noWrap/>
            <w:vAlign w:val="bottom"/>
            <w:hideMark/>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28,472</w:t>
            </w:r>
          </w:p>
        </w:tc>
      </w:tr>
    </w:tbl>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r>
        <w:rPr>
          <w:rFonts w:eastAsia="Times New Roman" w:cs="Times New Roman"/>
          <w:lang w:eastAsia="fr-FR"/>
        </w:rPr>
        <w:t xml:space="preserve">Lorsque les dépôts en euros ou devises étrangères des rubriques p4 et p10 du passif sont placés en euros, ils sont comptabilisés à l'actif en rubrique "autres concours en euro aux établissements de crédit de la zone euro si la contrepartie est située sur la zone euro, ou « créances en euro sur des </w:t>
      </w:r>
      <w:proofErr w:type="spellStart"/>
      <w:r>
        <w:rPr>
          <w:rFonts w:eastAsia="Times New Roman" w:cs="Times New Roman"/>
          <w:lang w:eastAsia="fr-FR"/>
        </w:rPr>
        <w:t>non résidents</w:t>
      </w:r>
      <w:proofErr w:type="spellEnd"/>
      <w:r>
        <w:rPr>
          <w:rFonts w:eastAsia="Times New Roman" w:cs="Times New Roman"/>
          <w:lang w:eastAsia="fr-FR"/>
        </w:rPr>
        <w:t xml:space="preserve"> de la zone euro » si la contrepartie est hors zone euro. Ces rubriques d’actifs peuvent donc comprendre également quelques titres en euros, </w:t>
      </w:r>
      <w:r w:rsidRPr="00C074B5">
        <w:rPr>
          <w:rFonts w:eastAsia="Times New Roman" w:cs="Times New Roman"/>
          <w:b/>
          <w:lang w:eastAsia="fr-FR"/>
        </w:rPr>
        <w:t>mais leurs achats ont été financ</w:t>
      </w:r>
      <w:r>
        <w:rPr>
          <w:rFonts w:eastAsia="Times New Roman" w:cs="Times New Roman"/>
          <w:b/>
          <w:lang w:eastAsia="fr-FR"/>
        </w:rPr>
        <w:t>é</w:t>
      </w:r>
      <w:r w:rsidRPr="00C074B5">
        <w:rPr>
          <w:rFonts w:eastAsia="Times New Roman" w:cs="Times New Roman"/>
          <w:b/>
          <w:lang w:eastAsia="fr-FR"/>
        </w:rPr>
        <w:t xml:space="preserve">s </w:t>
      </w:r>
      <w:r w:rsidRPr="00A8626B">
        <w:rPr>
          <w:rFonts w:eastAsia="Times New Roman" w:cs="Times New Roman"/>
          <w:b/>
          <w:lang w:eastAsia="fr-FR"/>
        </w:rPr>
        <w:t>d’une autre manière que par émission monétaire</w:t>
      </w:r>
      <w:r>
        <w:rPr>
          <w:rFonts w:eastAsia="Times New Roman" w:cs="Times New Roman"/>
          <w:lang w:eastAsia="fr-FR"/>
        </w:rPr>
        <w:t>.</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r>
        <w:rPr>
          <w:rFonts w:eastAsia="Times New Roman" w:cs="Times New Roman"/>
          <w:lang w:eastAsia="fr-FR"/>
        </w:rPr>
        <w:lastRenderedPageBreak/>
        <w:t xml:space="preserve">Toutefois la rubrique a4 « créances en euro sur des </w:t>
      </w:r>
      <w:proofErr w:type="spellStart"/>
      <w:r>
        <w:rPr>
          <w:rFonts w:eastAsia="Times New Roman" w:cs="Times New Roman"/>
          <w:lang w:eastAsia="fr-FR"/>
        </w:rPr>
        <w:t>non résidents</w:t>
      </w:r>
      <w:proofErr w:type="spellEnd"/>
      <w:r>
        <w:rPr>
          <w:rFonts w:eastAsia="Times New Roman" w:cs="Times New Roman"/>
          <w:lang w:eastAsia="fr-FR"/>
        </w:rPr>
        <w:t xml:space="preserve"> de la zone euro » peut contenir </w:t>
      </w:r>
      <w:r w:rsidRPr="00002B3D">
        <w:rPr>
          <w:rFonts w:eastAsia="Times New Roman" w:cs="Times New Roman"/>
          <w:b/>
          <w:lang w:eastAsia="fr-FR"/>
        </w:rPr>
        <w:t>aussi des titrés adossés à la base monétaire.</w:t>
      </w:r>
      <w:r>
        <w:rPr>
          <w:rFonts w:eastAsia="Times New Roman" w:cs="Times New Roman"/>
          <w:lang w:eastAsia="fr-FR"/>
        </w:rPr>
        <w:t xml:space="preserve"> </w:t>
      </w:r>
      <w:r w:rsidRPr="00002B3D">
        <w:rPr>
          <w:rFonts w:eastAsia="Times New Roman" w:cs="Times New Roman"/>
          <w:b/>
          <w:lang w:eastAsia="fr-FR"/>
        </w:rPr>
        <w:t>Mais ce sont des titres émis par des débiteurs hors zone euro. Ils sont donc nécessairement hors du champ de la critique allemande.</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center"/>
        <w:rPr>
          <w:rFonts w:eastAsia="Times New Roman" w:cs="Times New Roman"/>
          <w:b/>
          <w:lang w:eastAsia="fr-FR"/>
        </w:rPr>
      </w:pPr>
      <w:r w:rsidRPr="00002B3D">
        <w:rPr>
          <w:rFonts w:eastAsia="Times New Roman" w:cs="Times New Roman"/>
          <w:b/>
          <w:lang w:eastAsia="fr-FR"/>
        </w:rPr>
        <w:t xml:space="preserve">Rubrique a4 créances en euro sur des </w:t>
      </w:r>
      <w:proofErr w:type="spellStart"/>
      <w:r w:rsidRPr="00002B3D">
        <w:rPr>
          <w:rFonts w:eastAsia="Times New Roman" w:cs="Times New Roman"/>
          <w:b/>
          <w:lang w:eastAsia="fr-FR"/>
        </w:rPr>
        <w:t>non résidents</w:t>
      </w:r>
      <w:proofErr w:type="spellEnd"/>
      <w:r w:rsidRPr="00002B3D">
        <w:rPr>
          <w:rFonts w:eastAsia="Times New Roman" w:cs="Times New Roman"/>
          <w:b/>
          <w:lang w:eastAsia="fr-FR"/>
        </w:rPr>
        <w:t xml:space="preserve"> de la zone euro</w:t>
      </w:r>
    </w:p>
    <w:p w:rsidR="00D0626D" w:rsidRPr="00174A70" w:rsidRDefault="00D0626D" w:rsidP="00D0626D">
      <w:pPr>
        <w:spacing w:after="0" w:line="240" w:lineRule="auto"/>
        <w:jc w:val="center"/>
        <w:rPr>
          <w:rFonts w:ascii="Calibri" w:eastAsia="Times New Roman" w:hAnsi="Calibri" w:cs="Times New Roman"/>
          <w:b/>
          <w:color w:val="000000"/>
          <w:lang w:eastAsia="fr-FR"/>
        </w:rPr>
      </w:pPr>
      <w:r w:rsidRPr="00174A70">
        <w:rPr>
          <w:rFonts w:ascii="Calibri" w:eastAsia="Times New Roman" w:hAnsi="Calibri" w:cs="Times New Roman"/>
          <w:b/>
          <w:color w:val="000000"/>
          <w:lang w:eastAsia="fr-FR"/>
        </w:rPr>
        <w:t>Milliards d’€</w:t>
      </w:r>
    </w:p>
    <w:p w:rsidR="00D0626D" w:rsidRPr="00002B3D" w:rsidRDefault="00D0626D" w:rsidP="00D0626D">
      <w:pPr>
        <w:spacing w:after="0" w:line="240" w:lineRule="auto"/>
        <w:jc w:val="center"/>
        <w:rPr>
          <w:rFonts w:eastAsia="Times New Roman" w:cs="Times New Roman"/>
          <w:b/>
          <w:lang w:eastAsia="fr-FR"/>
        </w:rPr>
      </w:pPr>
    </w:p>
    <w:p w:rsidR="00D0626D" w:rsidRDefault="00D0626D" w:rsidP="00D0626D">
      <w:pPr>
        <w:spacing w:after="0" w:line="240" w:lineRule="auto"/>
        <w:jc w:val="both"/>
        <w:rPr>
          <w:rFonts w:eastAsia="Times New Roman" w:cs="Times New Roman"/>
          <w:lang w:eastAsia="fr-FR"/>
        </w:rPr>
      </w:pPr>
    </w:p>
    <w:tbl>
      <w:tblPr>
        <w:tblW w:w="6280" w:type="dxa"/>
        <w:jc w:val="center"/>
        <w:tblCellMar>
          <w:left w:w="70" w:type="dxa"/>
          <w:right w:w="70" w:type="dxa"/>
        </w:tblCellMar>
        <w:tblLook w:val="04A0" w:firstRow="1" w:lastRow="0" w:firstColumn="1" w:lastColumn="0" w:noHBand="0" w:noVBand="1"/>
      </w:tblPr>
      <w:tblGrid>
        <w:gridCol w:w="1200"/>
        <w:gridCol w:w="1200"/>
        <w:gridCol w:w="1200"/>
        <w:gridCol w:w="2680"/>
      </w:tblGrid>
      <w:tr w:rsidR="00D0626D" w:rsidRPr="001B1450" w:rsidTr="00356876">
        <w:trPr>
          <w:trHeight w:val="315"/>
          <w:jc w:val="center"/>
        </w:trPr>
        <w:tc>
          <w:tcPr>
            <w:tcW w:w="1200" w:type="dxa"/>
            <w:tcBorders>
              <w:top w:val="single" w:sz="4" w:space="0" w:color="auto"/>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jc w:val="center"/>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 </w:t>
            </w:r>
          </w:p>
        </w:tc>
        <w:tc>
          <w:tcPr>
            <w:tcW w:w="1200" w:type="dxa"/>
            <w:tcBorders>
              <w:top w:val="single" w:sz="4" w:space="0" w:color="auto"/>
              <w:left w:val="single" w:sz="4" w:space="0" w:color="auto"/>
              <w:bottom w:val="single" w:sz="4" w:space="0" w:color="auto"/>
              <w:right w:val="single" w:sz="4" w:space="0" w:color="auto"/>
            </w:tcBorders>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total</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partie adossée à la base monétaire</w:t>
            </w:r>
          </w:p>
        </w:tc>
      </w:tr>
      <w:tr w:rsidR="00D0626D" w:rsidRPr="001B1450"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2007</w:t>
            </w:r>
          </w:p>
        </w:tc>
        <w:tc>
          <w:tcPr>
            <w:tcW w:w="1200" w:type="dxa"/>
            <w:tcBorders>
              <w:top w:val="nil"/>
              <w:left w:val="single" w:sz="4" w:space="0" w:color="auto"/>
              <w:bottom w:val="single" w:sz="4" w:space="0" w:color="auto"/>
              <w:right w:val="single" w:sz="4" w:space="0" w:color="auto"/>
            </w:tcBorders>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3,487</w:t>
            </w:r>
          </w:p>
        </w:tc>
        <w:tc>
          <w:tcPr>
            <w:tcW w:w="2680" w:type="dxa"/>
            <w:tcBorders>
              <w:top w:val="nil"/>
              <w:left w:val="nil"/>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1,224</w:t>
            </w:r>
          </w:p>
        </w:tc>
      </w:tr>
      <w:tr w:rsidR="00D0626D" w:rsidRPr="001B1450"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2008</w:t>
            </w:r>
          </w:p>
        </w:tc>
        <w:tc>
          <w:tcPr>
            <w:tcW w:w="1200" w:type="dxa"/>
            <w:tcBorders>
              <w:top w:val="nil"/>
              <w:left w:val="single" w:sz="4" w:space="0" w:color="auto"/>
              <w:bottom w:val="single" w:sz="4" w:space="0" w:color="auto"/>
              <w:right w:val="single" w:sz="4" w:space="0" w:color="auto"/>
            </w:tcBorders>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5,793</w:t>
            </w:r>
          </w:p>
        </w:tc>
        <w:tc>
          <w:tcPr>
            <w:tcW w:w="2680" w:type="dxa"/>
            <w:tcBorders>
              <w:top w:val="nil"/>
              <w:left w:val="nil"/>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4,510</w:t>
            </w:r>
          </w:p>
        </w:tc>
      </w:tr>
      <w:tr w:rsidR="00D0626D" w:rsidRPr="001B1450"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2009</w:t>
            </w:r>
          </w:p>
        </w:tc>
        <w:tc>
          <w:tcPr>
            <w:tcW w:w="1200" w:type="dxa"/>
            <w:tcBorders>
              <w:top w:val="nil"/>
              <w:left w:val="single" w:sz="4" w:space="0" w:color="auto"/>
              <w:bottom w:val="single" w:sz="4" w:space="0" w:color="auto"/>
              <w:right w:val="single" w:sz="4" w:space="0" w:color="auto"/>
            </w:tcBorders>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2,94</w:t>
            </w:r>
          </w:p>
        </w:tc>
        <w:tc>
          <w:tcPr>
            <w:tcW w:w="2680" w:type="dxa"/>
            <w:tcBorders>
              <w:top w:val="nil"/>
              <w:left w:val="nil"/>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2,700</w:t>
            </w:r>
          </w:p>
        </w:tc>
      </w:tr>
      <w:tr w:rsidR="00D0626D" w:rsidRPr="001B1450"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2010</w:t>
            </w:r>
          </w:p>
        </w:tc>
        <w:tc>
          <w:tcPr>
            <w:tcW w:w="1200" w:type="dxa"/>
            <w:tcBorders>
              <w:top w:val="nil"/>
              <w:left w:val="single" w:sz="4" w:space="0" w:color="auto"/>
              <w:bottom w:val="single" w:sz="4" w:space="0" w:color="auto"/>
              <w:right w:val="single" w:sz="4" w:space="0" w:color="auto"/>
            </w:tcBorders>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6,901</w:t>
            </w:r>
          </w:p>
        </w:tc>
        <w:tc>
          <w:tcPr>
            <w:tcW w:w="2680" w:type="dxa"/>
            <w:tcBorders>
              <w:top w:val="nil"/>
              <w:left w:val="nil"/>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2,461</w:t>
            </w:r>
          </w:p>
        </w:tc>
      </w:tr>
      <w:tr w:rsidR="00D0626D" w:rsidRPr="001B1450"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2011</w:t>
            </w:r>
          </w:p>
        </w:tc>
        <w:tc>
          <w:tcPr>
            <w:tcW w:w="1200" w:type="dxa"/>
            <w:tcBorders>
              <w:top w:val="nil"/>
              <w:left w:val="single" w:sz="4" w:space="0" w:color="auto"/>
              <w:bottom w:val="single" w:sz="4" w:space="0" w:color="auto"/>
              <w:right w:val="single" w:sz="4" w:space="0" w:color="auto"/>
            </w:tcBorders>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10,113</w:t>
            </w:r>
          </w:p>
        </w:tc>
        <w:tc>
          <w:tcPr>
            <w:tcW w:w="2680" w:type="dxa"/>
            <w:tcBorders>
              <w:top w:val="nil"/>
              <w:left w:val="nil"/>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3,062</w:t>
            </w:r>
          </w:p>
        </w:tc>
      </w:tr>
      <w:tr w:rsidR="00D0626D" w:rsidRPr="001B1450"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2012</w:t>
            </w:r>
          </w:p>
        </w:tc>
        <w:tc>
          <w:tcPr>
            <w:tcW w:w="1200" w:type="dxa"/>
            <w:tcBorders>
              <w:top w:val="nil"/>
              <w:left w:val="single" w:sz="4" w:space="0" w:color="auto"/>
              <w:bottom w:val="single" w:sz="4" w:space="0" w:color="auto"/>
              <w:right w:val="single" w:sz="4" w:space="0" w:color="auto"/>
            </w:tcBorders>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6,539</w:t>
            </w:r>
          </w:p>
        </w:tc>
        <w:tc>
          <w:tcPr>
            <w:tcW w:w="2680" w:type="dxa"/>
            <w:tcBorders>
              <w:top w:val="nil"/>
              <w:left w:val="nil"/>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2,088</w:t>
            </w:r>
          </w:p>
        </w:tc>
      </w:tr>
      <w:tr w:rsidR="00D0626D" w:rsidRPr="001B1450"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2013</w:t>
            </w:r>
          </w:p>
        </w:tc>
        <w:tc>
          <w:tcPr>
            <w:tcW w:w="1200" w:type="dxa"/>
            <w:tcBorders>
              <w:top w:val="nil"/>
              <w:left w:val="single" w:sz="4" w:space="0" w:color="auto"/>
              <w:bottom w:val="single" w:sz="4" w:space="0" w:color="auto"/>
              <w:right w:val="single" w:sz="4" w:space="0" w:color="auto"/>
            </w:tcBorders>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6,363</w:t>
            </w:r>
          </w:p>
        </w:tc>
        <w:tc>
          <w:tcPr>
            <w:tcW w:w="2680" w:type="dxa"/>
            <w:tcBorders>
              <w:top w:val="nil"/>
              <w:left w:val="nil"/>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1,626</w:t>
            </w:r>
          </w:p>
        </w:tc>
      </w:tr>
      <w:tr w:rsidR="00D0626D" w:rsidRPr="001B1450"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jc w:val="right"/>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2014</w:t>
            </w:r>
          </w:p>
        </w:tc>
        <w:tc>
          <w:tcPr>
            <w:tcW w:w="1200" w:type="dxa"/>
            <w:tcBorders>
              <w:top w:val="nil"/>
              <w:left w:val="single" w:sz="4" w:space="0" w:color="auto"/>
              <w:bottom w:val="single" w:sz="4" w:space="0" w:color="auto"/>
              <w:right w:val="single" w:sz="4" w:space="0" w:color="auto"/>
            </w:tcBorders>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right"/>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3,236</w:t>
            </w:r>
          </w:p>
        </w:tc>
        <w:tc>
          <w:tcPr>
            <w:tcW w:w="2680" w:type="dxa"/>
            <w:tcBorders>
              <w:top w:val="nil"/>
              <w:left w:val="nil"/>
              <w:bottom w:val="single" w:sz="4" w:space="0" w:color="auto"/>
              <w:right w:val="single" w:sz="4" w:space="0" w:color="auto"/>
            </w:tcBorders>
            <w:shd w:val="clear" w:color="auto" w:fill="auto"/>
            <w:noWrap/>
            <w:vAlign w:val="center"/>
            <w:hideMark/>
          </w:tcPr>
          <w:p w:rsidR="00D0626D" w:rsidRPr="001B1450" w:rsidRDefault="00D0626D" w:rsidP="00356876">
            <w:pPr>
              <w:spacing w:after="0" w:line="240" w:lineRule="auto"/>
              <w:jc w:val="center"/>
              <w:rPr>
                <w:rFonts w:ascii="Calibri" w:eastAsia="Times New Roman" w:hAnsi="Calibri" w:cs="Times New Roman"/>
                <w:color w:val="000000"/>
                <w:sz w:val="16"/>
                <w:szCs w:val="16"/>
                <w:lang w:eastAsia="fr-FR"/>
              </w:rPr>
            </w:pPr>
            <w:r w:rsidRPr="001B1450">
              <w:rPr>
                <w:rFonts w:ascii="Calibri" w:eastAsia="Times New Roman" w:hAnsi="Calibri" w:cs="Times New Roman"/>
                <w:color w:val="000000"/>
                <w:sz w:val="16"/>
                <w:szCs w:val="16"/>
                <w:lang w:eastAsia="fr-FR"/>
              </w:rPr>
              <w:t>1,543</w:t>
            </w:r>
          </w:p>
        </w:tc>
      </w:tr>
    </w:tbl>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b/>
          <w:lang w:eastAsia="fr-FR"/>
        </w:rPr>
      </w:pPr>
    </w:p>
    <w:p w:rsidR="00D0626D" w:rsidRDefault="00D0626D" w:rsidP="00D0626D">
      <w:pPr>
        <w:spacing w:after="0" w:line="240" w:lineRule="auto"/>
        <w:jc w:val="both"/>
        <w:rPr>
          <w:rFonts w:eastAsia="Times New Roman" w:cs="Times New Roman"/>
          <w:b/>
          <w:lang w:eastAsia="fr-FR"/>
        </w:rPr>
      </w:pPr>
    </w:p>
    <w:p w:rsidR="00D0626D" w:rsidRDefault="00D0626D" w:rsidP="00D0626D">
      <w:pPr>
        <w:spacing w:after="0" w:line="240" w:lineRule="auto"/>
        <w:jc w:val="both"/>
        <w:rPr>
          <w:rFonts w:eastAsia="Times New Roman" w:cs="Times New Roman"/>
          <w:lang w:eastAsia="fr-FR"/>
        </w:rPr>
      </w:pPr>
      <w:r w:rsidRPr="00E32BC1">
        <w:rPr>
          <w:rFonts w:eastAsia="Times New Roman" w:cs="Times New Roman"/>
          <w:b/>
          <w:lang w:eastAsia="fr-FR"/>
        </w:rPr>
        <w:t>Les titres adossés à la base monétaire, donc dont l’acquisition a été financée par émission monéta</w:t>
      </w:r>
      <w:r w:rsidRPr="00501032">
        <w:rPr>
          <w:rFonts w:eastAsia="Times New Roman" w:cs="Times New Roman"/>
          <w:b/>
          <w:lang w:eastAsia="fr-FR"/>
        </w:rPr>
        <w:t>ire</w:t>
      </w:r>
      <w:r>
        <w:rPr>
          <w:rFonts w:eastAsia="Times New Roman" w:cs="Times New Roman"/>
          <w:lang w:eastAsia="fr-FR"/>
        </w:rPr>
        <w:t>, sont égaux à l’addition des rubriques 7.1, 7.2, et de la partie concernée de la rubrique a4. La banque de France le publie clairement et dit à leur propos que c’est un « portefeuille en emploi des ressources monétaires », soit dans le cadre des politiques monétaires spéciales décidées par la BCE, soit dans le cadre de l’accord ANFA. C’est un portefeuille « monétaire » car il comprend des titres dont l’achat a été financé par émission monétaire. Ces titres sont des actifs qui sont une partie des contreparties de la base monétaire au passif.</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center"/>
        <w:rPr>
          <w:rFonts w:eastAsia="Times New Roman" w:cs="Times New Roman"/>
          <w:b/>
          <w:lang w:eastAsia="fr-FR"/>
        </w:rPr>
      </w:pPr>
      <w:r w:rsidRPr="008D4215">
        <w:rPr>
          <w:rFonts w:eastAsia="Times New Roman" w:cs="Times New Roman"/>
          <w:b/>
          <w:lang w:eastAsia="fr-FR"/>
        </w:rPr>
        <w:t>Portefeuille monétaire en euro</w:t>
      </w:r>
    </w:p>
    <w:p w:rsidR="00D0626D" w:rsidRPr="006C2FCF" w:rsidRDefault="00D0626D" w:rsidP="00D0626D">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Milliards d’€</w:t>
      </w:r>
    </w:p>
    <w:p w:rsidR="00D0626D" w:rsidRDefault="00D0626D" w:rsidP="00D0626D">
      <w:pPr>
        <w:spacing w:after="0" w:line="240" w:lineRule="auto"/>
        <w:jc w:val="both"/>
        <w:rPr>
          <w:rFonts w:eastAsia="Times New Roman" w:cs="Times New Roman"/>
          <w:lang w:eastAsia="fr-FR"/>
        </w:rPr>
      </w:pPr>
    </w:p>
    <w:tbl>
      <w:tblPr>
        <w:tblW w:w="2400" w:type="dxa"/>
        <w:jc w:val="center"/>
        <w:tblCellMar>
          <w:left w:w="70" w:type="dxa"/>
          <w:right w:w="70" w:type="dxa"/>
        </w:tblCellMar>
        <w:tblLook w:val="04A0" w:firstRow="1" w:lastRow="0" w:firstColumn="1" w:lastColumn="0" w:noHBand="0" w:noVBand="1"/>
      </w:tblPr>
      <w:tblGrid>
        <w:gridCol w:w="1200"/>
        <w:gridCol w:w="1200"/>
      </w:tblGrid>
      <w:tr w:rsidR="00D0626D" w:rsidRPr="00E32BC1" w:rsidTr="00356876">
        <w:trPr>
          <w:trHeight w:val="315"/>
          <w:jc w:val="center"/>
        </w:trPr>
        <w:tc>
          <w:tcPr>
            <w:tcW w:w="1200" w:type="dxa"/>
            <w:tcBorders>
              <w:top w:val="single" w:sz="4" w:space="0" w:color="auto"/>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26D" w:rsidRPr="00E32BC1" w:rsidRDefault="00D0626D" w:rsidP="00356876">
            <w:pPr>
              <w:spacing w:after="0" w:line="240" w:lineRule="auto"/>
              <w:jc w:val="center"/>
              <w:rPr>
                <w:rFonts w:ascii="Calibri" w:eastAsia="Times New Roman" w:hAnsi="Calibri" w:cs="Times New Roman"/>
                <w:color w:val="000000"/>
                <w:sz w:val="16"/>
                <w:szCs w:val="16"/>
                <w:lang w:eastAsia="fr-FR"/>
              </w:rPr>
            </w:pPr>
            <w:r w:rsidRPr="00E32BC1">
              <w:rPr>
                <w:rFonts w:ascii="Calibri" w:eastAsia="Times New Roman" w:hAnsi="Calibri" w:cs="Times New Roman"/>
                <w:color w:val="000000"/>
                <w:sz w:val="16"/>
                <w:szCs w:val="16"/>
                <w:lang w:eastAsia="fr-FR"/>
              </w:rPr>
              <w:t>40,365</w:t>
            </w:r>
          </w:p>
        </w:tc>
      </w:tr>
      <w:tr w:rsidR="00D0626D" w:rsidRPr="00E32BC1"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0626D" w:rsidRPr="00E32BC1" w:rsidRDefault="00D0626D" w:rsidP="00356876">
            <w:pPr>
              <w:spacing w:after="0" w:line="240" w:lineRule="auto"/>
              <w:jc w:val="center"/>
              <w:rPr>
                <w:rFonts w:ascii="Calibri" w:eastAsia="Times New Roman" w:hAnsi="Calibri" w:cs="Times New Roman"/>
                <w:color w:val="000000"/>
                <w:sz w:val="16"/>
                <w:szCs w:val="16"/>
                <w:lang w:eastAsia="fr-FR"/>
              </w:rPr>
            </w:pPr>
            <w:r w:rsidRPr="00E32BC1">
              <w:rPr>
                <w:rFonts w:ascii="Calibri" w:eastAsia="Times New Roman" w:hAnsi="Calibri" w:cs="Times New Roman"/>
                <w:color w:val="000000"/>
                <w:sz w:val="16"/>
                <w:szCs w:val="16"/>
                <w:lang w:eastAsia="fr-FR"/>
              </w:rPr>
              <w:t>73,25</w:t>
            </w:r>
          </w:p>
        </w:tc>
      </w:tr>
      <w:tr w:rsidR="00D0626D" w:rsidRPr="00E32BC1"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2009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0626D" w:rsidRPr="00E32BC1" w:rsidRDefault="00D0626D" w:rsidP="00356876">
            <w:pPr>
              <w:spacing w:after="0" w:line="240" w:lineRule="auto"/>
              <w:jc w:val="center"/>
              <w:rPr>
                <w:rFonts w:ascii="Calibri" w:eastAsia="Times New Roman" w:hAnsi="Calibri" w:cs="Times New Roman"/>
                <w:color w:val="000000"/>
                <w:sz w:val="16"/>
                <w:szCs w:val="16"/>
                <w:lang w:eastAsia="fr-FR"/>
              </w:rPr>
            </w:pPr>
            <w:r w:rsidRPr="00E32BC1">
              <w:rPr>
                <w:rFonts w:ascii="Calibri" w:eastAsia="Times New Roman" w:hAnsi="Calibri" w:cs="Times New Roman"/>
                <w:color w:val="000000"/>
                <w:sz w:val="16"/>
                <w:szCs w:val="16"/>
                <w:lang w:eastAsia="fr-FR"/>
              </w:rPr>
              <w:t>71,417</w:t>
            </w:r>
          </w:p>
        </w:tc>
      </w:tr>
      <w:tr w:rsidR="00D0626D" w:rsidRPr="00E32BC1"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0626D" w:rsidRPr="00E32BC1" w:rsidRDefault="00D0626D" w:rsidP="00356876">
            <w:pPr>
              <w:spacing w:after="0" w:line="240" w:lineRule="auto"/>
              <w:jc w:val="center"/>
              <w:rPr>
                <w:rFonts w:ascii="Calibri" w:eastAsia="Times New Roman" w:hAnsi="Calibri" w:cs="Times New Roman"/>
                <w:color w:val="000000"/>
                <w:sz w:val="16"/>
                <w:szCs w:val="16"/>
                <w:lang w:eastAsia="fr-FR"/>
              </w:rPr>
            </w:pPr>
            <w:r w:rsidRPr="00E32BC1">
              <w:rPr>
                <w:rFonts w:ascii="Calibri" w:eastAsia="Times New Roman" w:hAnsi="Calibri" w:cs="Times New Roman"/>
                <w:color w:val="000000"/>
                <w:sz w:val="16"/>
                <w:szCs w:val="16"/>
                <w:lang w:eastAsia="fr-FR"/>
              </w:rPr>
              <w:t>92,876</w:t>
            </w:r>
          </w:p>
        </w:tc>
      </w:tr>
      <w:tr w:rsidR="00D0626D" w:rsidRPr="00E32BC1"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0626D" w:rsidRPr="00E32BC1" w:rsidRDefault="00D0626D" w:rsidP="00356876">
            <w:pPr>
              <w:spacing w:after="0" w:line="240" w:lineRule="auto"/>
              <w:jc w:val="center"/>
              <w:rPr>
                <w:rFonts w:ascii="Calibri" w:eastAsia="Times New Roman" w:hAnsi="Calibri" w:cs="Times New Roman"/>
                <w:color w:val="000000"/>
                <w:sz w:val="16"/>
                <w:szCs w:val="16"/>
                <w:lang w:eastAsia="fr-FR"/>
              </w:rPr>
            </w:pPr>
            <w:r w:rsidRPr="00E32BC1">
              <w:rPr>
                <w:rFonts w:ascii="Calibri" w:eastAsia="Times New Roman" w:hAnsi="Calibri" w:cs="Times New Roman"/>
                <w:color w:val="000000"/>
                <w:sz w:val="16"/>
                <w:szCs w:val="16"/>
                <w:lang w:eastAsia="fr-FR"/>
              </w:rPr>
              <w:t>142,356</w:t>
            </w:r>
          </w:p>
        </w:tc>
      </w:tr>
      <w:tr w:rsidR="00D0626D" w:rsidRPr="00E32BC1"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0626D" w:rsidRPr="00E32BC1" w:rsidRDefault="00D0626D" w:rsidP="00356876">
            <w:pPr>
              <w:spacing w:after="0" w:line="240" w:lineRule="auto"/>
              <w:jc w:val="center"/>
              <w:rPr>
                <w:rFonts w:ascii="Calibri" w:eastAsia="Times New Roman" w:hAnsi="Calibri" w:cs="Times New Roman"/>
                <w:color w:val="000000"/>
                <w:sz w:val="16"/>
                <w:szCs w:val="16"/>
                <w:lang w:eastAsia="fr-FR"/>
              </w:rPr>
            </w:pPr>
            <w:r w:rsidRPr="00E32BC1">
              <w:rPr>
                <w:rFonts w:ascii="Calibri" w:eastAsia="Times New Roman" w:hAnsi="Calibri" w:cs="Times New Roman"/>
                <w:color w:val="000000"/>
                <w:sz w:val="16"/>
                <w:szCs w:val="16"/>
                <w:lang w:eastAsia="fr-FR"/>
              </w:rPr>
              <w:t>132,515</w:t>
            </w:r>
          </w:p>
        </w:tc>
      </w:tr>
      <w:tr w:rsidR="00D0626D" w:rsidRPr="00E32BC1"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0626D" w:rsidRPr="00E32BC1" w:rsidRDefault="00D0626D" w:rsidP="00356876">
            <w:pPr>
              <w:spacing w:after="0" w:line="240" w:lineRule="auto"/>
              <w:jc w:val="center"/>
              <w:rPr>
                <w:rFonts w:ascii="Calibri" w:eastAsia="Times New Roman" w:hAnsi="Calibri" w:cs="Times New Roman"/>
                <w:color w:val="000000"/>
                <w:sz w:val="16"/>
                <w:szCs w:val="16"/>
                <w:lang w:eastAsia="fr-FR"/>
              </w:rPr>
            </w:pPr>
            <w:r w:rsidRPr="00E32BC1">
              <w:rPr>
                <w:rFonts w:ascii="Calibri" w:eastAsia="Times New Roman" w:hAnsi="Calibri" w:cs="Times New Roman"/>
                <w:color w:val="000000"/>
                <w:sz w:val="16"/>
                <w:szCs w:val="16"/>
                <w:lang w:eastAsia="fr-FR"/>
              </w:rPr>
              <w:t>125,808</w:t>
            </w:r>
          </w:p>
        </w:tc>
      </w:tr>
      <w:tr w:rsidR="00D0626D" w:rsidRPr="00E32BC1" w:rsidTr="00356876">
        <w:trPr>
          <w:trHeight w:val="315"/>
          <w:jc w:val="center"/>
        </w:trPr>
        <w:tc>
          <w:tcPr>
            <w:tcW w:w="1200" w:type="dxa"/>
            <w:tcBorders>
              <w:top w:val="nil"/>
              <w:left w:val="single" w:sz="4" w:space="0" w:color="auto"/>
              <w:bottom w:val="single" w:sz="4" w:space="0" w:color="auto"/>
              <w:right w:val="single" w:sz="4" w:space="0" w:color="auto"/>
            </w:tcBorders>
            <w:vAlign w:val="center"/>
          </w:tcPr>
          <w:p w:rsidR="00D0626D" w:rsidRPr="00174A70" w:rsidRDefault="00D0626D" w:rsidP="00356876">
            <w:pPr>
              <w:spacing w:after="0" w:line="240" w:lineRule="auto"/>
              <w:rPr>
                <w:rFonts w:ascii="Calibri" w:eastAsia="Times New Roman" w:hAnsi="Calibri" w:cs="Times New Roman"/>
                <w:color w:val="000000"/>
                <w:sz w:val="16"/>
                <w:szCs w:val="16"/>
                <w:lang w:eastAsia="fr-FR"/>
              </w:rPr>
            </w:pPr>
            <w:r w:rsidRPr="00174A70">
              <w:rPr>
                <w:rFonts w:ascii="Calibri" w:eastAsia="Times New Roman" w:hAnsi="Calibri" w:cs="Times New Roman"/>
                <w:color w:val="000000"/>
                <w:sz w:val="16"/>
                <w:szCs w:val="16"/>
                <w:lang w:eastAsia="fr-FR"/>
              </w:rPr>
              <w:t>2014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0626D" w:rsidRPr="00E32BC1" w:rsidRDefault="00D0626D" w:rsidP="00356876">
            <w:pPr>
              <w:spacing w:after="0" w:line="240" w:lineRule="auto"/>
              <w:jc w:val="center"/>
              <w:rPr>
                <w:rFonts w:ascii="Calibri" w:eastAsia="Times New Roman" w:hAnsi="Calibri" w:cs="Times New Roman"/>
                <w:color w:val="000000"/>
                <w:sz w:val="16"/>
                <w:szCs w:val="16"/>
                <w:lang w:eastAsia="fr-FR"/>
              </w:rPr>
            </w:pPr>
            <w:r w:rsidRPr="00E32BC1">
              <w:rPr>
                <w:rFonts w:ascii="Calibri" w:eastAsia="Times New Roman" w:hAnsi="Calibri" w:cs="Times New Roman"/>
                <w:color w:val="000000"/>
                <w:sz w:val="16"/>
                <w:szCs w:val="16"/>
                <w:lang w:eastAsia="fr-FR"/>
              </w:rPr>
              <w:t>122,583</w:t>
            </w:r>
          </w:p>
        </w:tc>
      </w:tr>
    </w:tbl>
    <w:p w:rsidR="00D0626D" w:rsidRDefault="00D0626D" w:rsidP="00D0626D">
      <w:pPr>
        <w:spacing w:after="0" w:line="240" w:lineRule="auto"/>
        <w:jc w:val="center"/>
        <w:rPr>
          <w:rFonts w:eastAsia="Times New Roman" w:cs="Times New Roman"/>
          <w:lang w:eastAsia="fr-FR"/>
        </w:rPr>
      </w:pPr>
    </w:p>
    <w:p w:rsidR="00D0626D" w:rsidRPr="006C2FCF" w:rsidRDefault="00D0626D" w:rsidP="00D0626D">
      <w:pPr>
        <w:spacing w:after="0" w:line="240" w:lineRule="auto"/>
        <w:jc w:val="both"/>
        <w:rPr>
          <w:rFonts w:eastAsia="Times New Roman" w:cs="Times New Roman"/>
          <w:lang w:eastAsia="fr-FR"/>
        </w:rPr>
      </w:pPr>
      <w:r w:rsidRPr="006C2FCF">
        <w:rPr>
          <w:rFonts w:eastAsia="Times New Roman" w:cs="Times New Roman"/>
          <w:lang w:eastAsia="fr-FR"/>
        </w:rPr>
        <w:t xml:space="preserve">Une partie de ces titres </w:t>
      </w:r>
      <w:r>
        <w:rPr>
          <w:rFonts w:eastAsia="Times New Roman" w:cs="Times New Roman"/>
          <w:lang w:eastAsia="fr-FR"/>
        </w:rPr>
        <w:t>a toutefois été achetée dans le cadre des politiques monétaires exceptionnelles décidées par la BCE. Ce sont les titres qui restent qui sont sujet à la critique en Allemagne.</w:t>
      </w:r>
    </w:p>
    <w:p w:rsidR="00D0626D" w:rsidRDefault="00D0626D" w:rsidP="00D0626D">
      <w:pPr>
        <w:spacing w:after="0" w:line="240" w:lineRule="auto"/>
        <w:jc w:val="center"/>
        <w:rPr>
          <w:rFonts w:eastAsia="Times New Roman" w:cs="Times New Roman"/>
          <w:b/>
          <w:lang w:eastAsia="fr-FR"/>
        </w:rPr>
      </w:pPr>
    </w:p>
    <w:p w:rsidR="00D0626D" w:rsidRDefault="00D0626D" w:rsidP="00D0626D">
      <w:pPr>
        <w:spacing w:after="0" w:line="240" w:lineRule="auto"/>
        <w:jc w:val="center"/>
        <w:rPr>
          <w:rFonts w:eastAsia="Times New Roman" w:cs="Times New Roman"/>
          <w:b/>
          <w:lang w:eastAsia="fr-FR"/>
        </w:rPr>
      </w:pPr>
      <w:r w:rsidRPr="008D4215">
        <w:rPr>
          <w:rFonts w:eastAsia="Times New Roman" w:cs="Times New Roman"/>
          <w:b/>
          <w:lang w:eastAsia="fr-FR"/>
        </w:rPr>
        <w:t>Portefeuille monétaire en euro</w:t>
      </w:r>
      <w:r>
        <w:rPr>
          <w:rFonts w:eastAsia="Times New Roman" w:cs="Times New Roman"/>
          <w:b/>
          <w:lang w:eastAsia="fr-FR"/>
        </w:rPr>
        <w:t xml:space="preserve"> hors titres acquis dans le cadre de la politique monétaire</w:t>
      </w:r>
    </w:p>
    <w:p w:rsidR="00D0626D" w:rsidRPr="006C2FCF" w:rsidRDefault="00D0626D" w:rsidP="00D0626D">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Milliards d’€</w:t>
      </w:r>
    </w:p>
    <w:p w:rsidR="00D0626D" w:rsidRDefault="00D0626D" w:rsidP="00D0626D">
      <w:pPr>
        <w:spacing w:after="0" w:line="240" w:lineRule="auto"/>
        <w:jc w:val="center"/>
        <w:rPr>
          <w:rFonts w:eastAsia="Times New Roman" w:cs="Times New Roman"/>
          <w:b/>
          <w:lang w:eastAsia="fr-FR"/>
        </w:rPr>
      </w:pPr>
    </w:p>
    <w:tbl>
      <w:tblPr>
        <w:tblW w:w="2400" w:type="dxa"/>
        <w:jc w:val="center"/>
        <w:tblCellMar>
          <w:left w:w="70" w:type="dxa"/>
          <w:right w:w="70" w:type="dxa"/>
        </w:tblCellMar>
        <w:tblLook w:val="04A0" w:firstRow="1" w:lastRow="0" w:firstColumn="1" w:lastColumn="0" w:noHBand="0" w:noVBand="1"/>
      </w:tblPr>
      <w:tblGrid>
        <w:gridCol w:w="1200"/>
        <w:gridCol w:w="1200"/>
      </w:tblGrid>
      <w:tr w:rsidR="00D0626D" w:rsidRPr="00D30FCB" w:rsidTr="0035687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2007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40,365</w:t>
            </w:r>
          </w:p>
        </w:tc>
      </w:tr>
      <w:tr w:rsidR="00D0626D" w:rsidRPr="00D30FCB"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73,25</w:t>
            </w:r>
          </w:p>
        </w:tc>
      </w:tr>
      <w:tr w:rsidR="00D0626D" w:rsidRPr="00D30FCB"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lastRenderedPageBreak/>
              <w:t>2009</w:t>
            </w:r>
          </w:p>
        </w:tc>
        <w:tc>
          <w:tcPr>
            <w:tcW w:w="1200" w:type="dxa"/>
            <w:tcBorders>
              <w:top w:val="nil"/>
              <w:left w:val="nil"/>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67,216</w:t>
            </w:r>
          </w:p>
        </w:tc>
      </w:tr>
      <w:tr w:rsidR="00D0626D" w:rsidRPr="00D30FCB"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71,54</w:t>
            </w:r>
          </w:p>
        </w:tc>
      </w:tr>
      <w:tr w:rsidR="00D0626D" w:rsidRPr="00D30FCB"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93,6</w:t>
            </w:r>
          </w:p>
        </w:tc>
      </w:tr>
      <w:tr w:rsidR="00D0626D" w:rsidRPr="00D30FCB"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80,713</w:t>
            </w:r>
          </w:p>
        </w:tc>
      </w:tr>
      <w:tr w:rsidR="00D0626D" w:rsidRPr="00D30FCB"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80,669</w:t>
            </w:r>
          </w:p>
        </w:tc>
      </w:tr>
      <w:tr w:rsidR="00D0626D" w:rsidRPr="00D30FCB" w:rsidTr="003568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80,1</w:t>
            </w:r>
          </w:p>
        </w:tc>
      </w:tr>
    </w:tbl>
    <w:p w:rsidR="00D0626D" w:rsidRDefault="00D0626D" w:rsidP="00D0626D">
      <w:pPr>
        <w:spacing w:after="0" w:line="240" w:lineRule="auto"/>
        <w:jc w:val="both"/>
        <w:rPr>
          <w:rFonts w:eastAsia="Times New Roman" w:cs="Times New Roman"/>
          <w:lang w:eastAsia="fr-FR"/>
        </w:rPr>
      </w:pPr>
    </w:p>
    <w:p w:rsidR="00D0626D" w:rsidRPr="00264C41" w:rsidRDefault="00D0626D" w:rsidP="00D0626D">
      <w:pPr>
        <w:spacing w:after="0" w:line="240" w:lineRule="auto"/>
        <w:jc w:val="both"/>
        <w:rPr>
          <w:rFonts w:eastAsia="Times New Roman" w:cs="Times New Roman"/>
          <w:b/>
          <w:lang w:eastAsia="fr-FR"/>
        </w:rPr>
      </w:pPr>
      <w:r w:rsidRPr="00264C41">
        <w:rPr>
          <w:rFonts w:eastAsia="Times New Roman" w:cs="Times New Roman"/>
          <w:b/>
          <w:lang w:eastAsia="fr-FR"/>
        </w:rPr>
        <w:t xml:space="preserve">Evidemment la banque de France détient également des titres en euros en emploi de ses fonds propres et provisions. Ils sont financés autrement que par détention monétaire. Ils peuvent contenir des obligations publiques françaises ou émises par d’autres pays de la zone euro, mais c’est totalement légitime, et n’implique en rien du financement monétaire. </w:t>
      </w:r>
    </w:p>
    <w:p w:rsidR="00D0626D" w:rsidRDefault="00D0626D" w:rsidP="00D0626D">
      <w:pPr>
        <w:spacing w:after="0" w:line="240" w:lineRule="auto"/>
        <w:jc w:val="both"/>
        <w:rPr>
          <w:rFonts w:eastAsia="Times New Roman" w:cs="Times New Roman"/>
          <w:lang w:eastAsia="fr-FR"/>
        </w:rPr>
      </w:pPr>
    </w:p>
    <w:p w:rsidR="00D0626D" w:rsidRPr="001B1450" w:rsidRDefault="00D0626D" w:rsidP="00D0626D">
      <w:pPr>
        <w:spacing w:after="0" w:line="240" w:lineRule="auto"/>
        <w:jc w:val="center"/>
        <w:rPr>
          <w:rFonts w:ascii="Arial" w:eastAsia="Times New Roman" w:hAnsi="Arial" w:cs="Arial"/>
          <w:b/>
          <w:sz w:val="20"/>
          <w:szCs w:val="20"/>
          <w:lang w:eastAsia="fr-FR"/>
        </w:rPr>
      </w:pPr>
      <w:r w:rsidRPr="001B1450">
        <w:rPr>
          <w:rFonts w:ascii="Arial" w:eastAsia="Times New Roman" w:hAnsi="Arial" w:cs="Arial"/>
          <w:b/>
          <w:sz w:val="20"/>
          <w:szCs w:val="20"/>
          <w:lang w:eastAsia="fr-FR"/>
        </w:rPr>
        <w:t>Portefeuille de titres en euros en emploi des ressources propres et provisions</w:t>
      </w:r>
    </w:p>
    <w:p w:rsidR="00D0626D" w:rsidRPr="006C2FCF" w:rsidRDefault="00D0626D" w:rsidP="00D0626D">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Milliards d’€</w:t>
      </w:r>
    </w:p>
    <w:p w:rsidR="00D0626D" w:rsidRDefault="00D0626D" w:rsidP="00D0626D">
      <w:pPr>
        <w:spacing w:after="0" w:line="240" w:lineRule="auto"/>
        <w:rPr>
          <w:rFonts w:ascii="Arial" w:eastAsia="Times New Roman" w:hAnsi="Arial" w:cs="Arial"/>
          <w:sz w:val="20"/>
          <w:szCs w:val="20"/>
          <w:lang w:eastAsia="fr-FR"/>
        </w:rPr>
      </w:pPr>
    </w:p>
    <w:tbl>
      <w:tblPr>
        <w:tblW w:w="3949" w:type="dxa"/>
        <w:jc w:val="center"/>
        <w:tblCellMar>
          <w:left w:w="70" w:type="dxa"/>
          <w:right w:w="70" w:type="dxa"/>
        </w:tblCellMar>
        <w:tblLook w:val="04A0" w:firstRow="1" w:lastRow="0" w:firstColumn="1" w:lastColumn="0" w:noHBand="0" w:noVBand="1"/>
      </w:tblPr>
      <w:tblGrid>
        <w:gridCol w:w="851"/>
        <w:gridCol w:w="1549"/>
        <w:gridCol w:w="1549"/>
      </w:tblGrid>
      <w:tr w:rsidR="00D0626D" w:rsidRPr="00264C41" w:rsidTr="00356876">
        <w:trPr>
          <w:trHeight w:val="300"/>
          <w:jc w:val="center"/>
        </w:trPr>
        <w:tc>
          <w:tcPr>
            <w:tcW w:w="851" w:type="dxa"/>
            <w:tcBorders>
              <w:top w:val="nil"/>
              <w:left w:val="nil"/>
              <w:bottom w:val="nil"/>
              <w:right w:val="nil"/>
            </w:tcBorders>
          </w:tcPr>
          <w:p w:rsidR="00D0626D" w:rsidRPr="00D30FCB" w:rsidRDefault="00D0626D" w:rsidP="00356876">
            <w:pPr>
              <w:spacing w:after="0" w:line="240" w:lineRule="auto"/>
              <w:jc w:val="right"/>
              <w:rPr>
                <w:rFonts w:ascii="Calibri" w:eastAsia="Times New Roman" w:hAnsi="Calibri" w:cs="Times New Roman"/>
                <w:color w:val="000000"/>
                <w:lang w:eastAsia="fr-FR"/>
              </w:rPr>
            </w:pPr>
          </w:p>
        </w:tc>
        <w:tc>
          <w:tcPr>
            <w:tcW w:w="1549" w:type="dxa"/>
            <w:tcBorders>
              <w:top w:val="nil"/>
              <w:left w:val="nil"/>
              <w:bottom w:val="nil"/>
              <w:right w:val="nil"/>
            </w:tcBorders>
            <w:vAlign w:val="center"/>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2007</w:t>
            </w:r>
          </w:p>
        </w:tc>
        <w:tc>
          <w:tcPr>
            <w:tcW w:w="1549" w:type="dxa"/>
            <w:tcBorders>
              <w:top w:val="nil"/>
              <w:left w:val="nil"/>
              <w:bottom w:val="nil"/>
              <w:right w:val="nil"/>
            </w:tcBorders>
            <w:shd w:val="clear" w:color="auto" w:fill="auto"/>
            <w:noWrap/>
            <w:vAlign w:val="bottom"/>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3,936</w:t>
            </w:r>
          </w:p>
        </w:tc>
      </w:tr>
      <w:tr w:rsidR="00D0626D" w:rsidRPr="00264C41" w:rsidTr="00356876">
        <w:trPr>
          <w:trHeight w:val="300"/>
          <w:jc w:val="center"/>
        </w:trPr>
        <w:tc>
          <w:tcPr>
            <w:tcW w:w="851" w:type="dxa"/>
            <w:tcBorders>
              <w:top w:val="nil"/>
              <w:left w:val="nil"/>
              <w:bottom w:val="nil"/>
              <w:right w:val="nil"/>
            </w:tcBorders>
          </w:tcPr>
          <w:p w:rsidR="00D0626D" w:rsidRPr="00D30FCB" w:rsidRDefault="00D0626D" w:rsidP="00356876">
            <w:pPr>
              <w:spacing w:after="0" w:line="240" w:lineRule="auto"/>
              <w:jc w:val="right"/>
              <w:rPr>
                <w:rFonts w:ascii="Calibri" w:eastAsia="Times New Roman" w:hAnsi="Calibri" w:cs="Times New Roman"/>
                <w:color w:val="000000"/>
                <w:lang w:eastAsia="fr-FR"/>
              </w:rPr>
            </w:pPr>
          </w:p>
        </w:tc>
        <w:tc>
          <w:tcPr>
            <w:tcW w:w="1549" w:type="dxa"/>
            <w:tcBorders>
              <w:top w:val="nil"/>
              <w:left w:val="nil"/>
              <w:bottom w:val="nil"/>
              <w:right w:val="nil"/>
            </w:tcBorders>
            <w:vAlign w:val="center"/>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2008</w:t>
            </w:r>
          </w:p>
        </w:tc>
        <w:tc>
          <w:tcPr>
            <w:tcW w:w="1549" w:type="dxa"/>
            <w:tcBorders>
              <w:top w:val="nil"/>
              <w:left w:val="nil"/>
              <w:bottom w:val="nil"/>
              <w:right w:val="nil"/>
            </w:tcBorders>
            <w:shd w:val="clear" w:color="auto" w:fill="auto"/>
            <w:noWrap/>
            <w:vAlign w:val="bottom"/>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4,608</w:t>
            </w:r>
          </w:p>
        </w:tc>
      </w:tr>
      <w:tr w:rsidR="00D0626D" w:rsidRPr="00264C41" w:rsidTr="00356876">
        <w:trPr>
          <w:trHeight w:val="300"/>
          <w:jc w:val="center"/>
        </w:trPr>
        <w:tc>
          <w:tcPr>
            <w:tcW w:w="851" w:type="dxa"/>
            <w:tcBorders>
              <w:top w:val="nil"/>
              <w:left w:val="nil"/>
              <w:bottom w:val="nil"/>
              <w:right w:val="nil"/>
            </w:tcBorders>
          </w:tcPr>
          <w:p w:rsidR="00D0626D" w:rsidRPr="00D30FCB" w:rsidRDefault="00D0626D" w:rsidP="00356876">
            <w:pPr>
              <w:spacing w:after="0" w:line="240" w:lineRule="auto"/>
              <w:jc w:val="right"/>
              <w:rPr>
                <w:rFonts w:ascii="Calibri" w:eastAsia="Times New Roman" w:hAnsi="Calibri" w:cs="Times New Roman"/>
                <w:color w:val="000000"/>
                <w:lang w:eastAsia="fr-FR"/>
              </w:rPr>
            </w:pPr>
          </w:p>
        </w:tc>
        <w:tc>
          <w:tcPr>
            <w:tcW w:w="1549" w:type="dxa"/>
            <w:tcBorders>
              <w:top w:val="nil"/>
              <w:left w:val="nil"/>
              <w:bottom w:val="nil"/>
              <w:right w:val="nil"/>
            </w:tcBorders>
            <w:vAlign w:val="center"/>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2009</w:t>
            </w:r>
          </w:p>
        </w:tc>
        <w:tc>
          <w:tcPr>
            <w:tcW w:w="1549" w:type="dxa"/>
            <w:tcBorders>
              <w:top w:val="nil"/>
              <w:left w:val="nil"/>
              <w:bottom w:val="nil"/>
              <w:right w:val="nil"/>
            </w:tcBorders>
            <w:shd w:val="clear" w:color="auto" w:fill="auto"/>
            <w:noWrap/>
            <w:vAlign w:val="bottom"/>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5,029</w:t>
            </w:r>
          </w:p>
        </w:tc>
      </w:tr>
      <w:tr w:rsidR="00D0626D" w:rsidRPr="00264C41" w:rsidTr="00356876">
        <w:trPr>
          <w:trHeight w:val="300"/>
          <w:jc w:val="center"/>
        </w:trPr>
        <w:tc>
          <w:tcPr>
            <w:tcW w:w="851" w:type="dxa"/>
            <w:tcBorders>
              <w:top w:val="nil"/>
              <w:left w:val="nil"/>
              <w:bottom w:val="nil"/>
              <w:right w:val="nil"/>
            </w:tcBorders>
          </w:tcPr>
          <w:p w:rsidR="00D0626D" w:rsidRPr="00D30FCB" w:rsidRDefault="00D0626D" w:rsidP="00356876">
            <w:pPr>
              <w:spacing w:after="0" w:line="240" w:lineRule="auto"/>
              <w:jc w:val="right"/>
              <w:rPr>
                <w:rFonts w:ascii="Calibri" w:eastAsia="Times New Roman" w:hAnsi="Calibri" w:cs="Times New Roman"/>
                <w:color w:val="000000"/>
                <w:lang w:eastAsia="fr-FR"/>
              </w:rPr>
            </w:pPr>
          </w:p>
        </w:tc>
        <w:tc>
          <w:tcPr>
            <w:tcW w:w="1549" w:type="dxa"/>
            <w:tcBorders>
              <w:top w:val="nil"/>
              <w:left w:val="nil"/>
              <w:bottom w:val="nil"/>
              <w:right w:val="nil"/>
            </w:tcBorders>
            <w:vAlign w:val="center"/>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2010</w:t>
            </w:r>
          </w:p>
        </w:tc>
        <w:tc>
          <w:tcPr>
            <w:tcW w:w="1549" w:type="dxa"/>
            <w:tcBorders>
              <w:top w:val="nil"/>
              <w:left w:val="nil"/>
              <w:bottom w:val="nil"/>
              <w:right w:val="nil"/>
            </w:tcBorders>
            <w:shd w:val="clear" w:color="auto" w:fill="auto"/>
            <w:noWrap/>
            <w:vAlign w:val="bottom"/>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5,823</w:t>
            </w:r>
          </w:p>
        </w:tc>
      </w:tr>
      <w:tr w:rsidR="00D0626D" w:rsidRPr="00264C41" w:rsidTr="00356876">
        <w:trPr>
          <w:trHeight w:val="300"/>
          <w:jc w:val="center"/>
        </w:trPr>
        <w:tc>
          <w:tcPr>
            <w:tcW w:w="851" w:type="dxa"/>
            <w:tcBorders>
              <w:top w:val="nil"/>
              <w:left w:val="nil"/>
              <w:bottom w:val="nil"/>
              <w:right w:val="nil"/>
            </w:tcBorders>
          </w:tcPr>
          <w:p w:rsidR="00D0626D" w:rsidRPr="00D30FCB" w:rsidRDefault="00D0626D" w:rsidP="00356876">
            <w:pPr>
              <w:spacing w:after="0" w:line="240" w:lineRule="auto"/>
              <w:jc w:val="right"/>
              <w:rPr>
                <w:rFonts w:ascii="Calibri" w:eastAsia="Times New Roman" w:hAnsi="Calibri" w:cs="Times New Roman"/>
                <w:color w:val="000000"/>
                <w:lang w:eastAsia="fr-FR"/>
              </w:rPr>
            </w:pPr>
          </w:p>
        </w:tc>
        <w:tc>
          <w:tcPr>
            <w:tcW w:w="1549" w:type="dxa"/>
            <w:tcBorders>
              <w:top w:val="nil"/>
              <w:left w:val="nil"/>
              <w:bottom w:val="nil"/>
              <w:right w:val="nil"/>
            </w:tcBorders>
            <w:vAlign w:val="center"/>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2011</w:t>
            </w:r>
          </w:p>
        </w:tc>
        <w:tc>
          <w:tcPr>
            <w:tcW w:w="1549" w:type="dxa"/>
            <w:tcBorders>
              <w:top w:val="nil"/>
              <w:left w:val="nil"/>
              <w:bottom w:val="nil"/>
              <w:right w:val="nil"/>
            </w:tcBorders>
            <w:shd w:val="clear" w:color="auto" w:fill="auto"/>
            <w:noWrap/>
            <w:vAlign w:val="bottom"/>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6,212</w:t>
            </w:r>
          </w:p>
        </w:tc>
      </w:tr>
      <w:tr w:rsidR="00D0626D" w:rsidRPr="00264C41" w:rsidTr="00356876">
        <w:trPr>
          <w:trHeight w:val="300"/>
          <w:jc w:val="center"/>
        </w:trPr>
        <w:tc>
          <w:tcPr>
            <w:tcW w:w="851" w:type="dxa"/>
            <w:tcBorders>
              <w:top w:val="nil"/>
              <w:left w:val="nil"/>
              <w:bottom w:val="nil"/>
              <w:right w:val="nil"/>
            </w:tcBorders>
          </w:tcPr>
          <w:p w:rsidR="00D0626D" w:rsidRPr="00D30FCB" w:rsidRDefault="00D0626D" w:rsidP="00356876">
            <w:pPr>
              <w:spacing w:after="0" w:line="240" w:lineRule="auto"/>
              <w:jc w:val="right"/>
              <w:rPr>
                <w:rFonts w:ascii="Calibri" w:eastAsia="Times New Roman" w:hAnsi="Calibri" w:cs="Times New Roman"/>
                <w:color w:val="000000"/>
                <w:lang w:eastAsia="fr-FR"/>
              </w:rPr>
            </w:pPr>
          </w:p>
        </w:tc>
        <w:tc>
          <w:tcPr>
            <w:tcW w:w="1549" w:type="dxa"/>
            <w:tcBorders>
              <w:top w:val="nil"/>
              <w:left w:val="nil"/>
              <w:bottom w:val="nil"/>
              <w:right w:val="nil"/>
            </w:tcBorders>
            <w:vAlign w:val="center"/>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2012</w:t>
            </w:r>
          </w:p>
        </w:tc>
        <w:tc>
          <w:tcPr>
            <w:tcW w:w="1549" w:type="dxa"/>
            <w:tcBorders>
              <w:top w:val="nil"/>
              <w:left w:val="nil"/>
              <w:bottom w:val="nil"/>
              <w:right w:val="nil"/>
            </w:tcBorders>
            <w:shd w:val="clear" w:color="auto" w:fill="auto"/>
            <w:noWrap/>
            <w:vAlign w:val="bottom"/>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6,472</w:t>
            </w:r>
          </w:p>
        </w:tc>
      </w:tr>
      <w:tr w:rsidR="00D0626D" w:rsidRPr="00264C41" w:rsidTr="00356876">
        <w:trPr>
          <w:trHeight w:val="300"/>
          <w:jc w:val="center"/>
        </w:trPr>
        <w:tc>
          <w:tcPr>
            <w:tcW w:w="851" w:type="dxa"/>
            <w:tcBorders>
              <w:top w:val="nil"/>
              <w:left w:val="nil"/>
              <w:bottom w:val="nil"/>
              <w:right w:val="nil"/>
            </w:tcBorders>
          </w:tcPr>
          <w:p w:rsidR="00D0626D" w:rsidRPr="00D30FCB" w:rsidRDefault="00D0626D" w:rsidP="00356876">
            <w:pPr>
              <w:spacing w:after="0" w:line="240" w:lineRule="auto"/>
              <w:jc w:val="right"/>
              <w:rPr>
                <w:rFonts w:ascii="Calibri" w:eastAsia="Times New Roman" w:hAnsi="Calibri" w:cs="Times New Roman"/>
                <w:color w:val="000000"/>
                <w:lang w:eastAsia="fr-FR"/>
              </w:rPr>
            </w:pPr>
          </w:p>
        </w:tc>
        <w:tc>
          <w:tcPr>
            <w:tcW w:w="1549" w:type="dxa"/>
            <w:tcBorders>
              <w:top w:val="nil"/>
              <w:left w:val="nil"/>
              <w:bottom w:val="nil"/>
              <w:right w:val="nil"/>
            </w:tcBorders>
            <w:vAlign w:val="center"/>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2013</w:t>
            </w:r>
          </w:p>
        </w:tc>
        <w:tc>
          <w:tcPr>
            <w:tcW w:w="1549" w:type="dxa"/>
            <w:tcBorders>
              <w:top w:val="nil"/>
              <w:left w:val="nil"/>
              <w:bottom w:val="nil"/>
              <w:right w:val="nil"/>
            </w:tcBorders>
            <w:shd w:val="clear" w:color="auto" w:fill="auto"/>
            <w:noWrap/>
            <w:vAlign w:val="bottom"/>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6,658</w:t>
            </w:r>
          </w:p>
        </w:tc>
      </w:tr>
      <w:tr w:rsidR="00D0626D" w:rsidRPr="00264C41" w:rsidTr="00356876">
        <w:trPr>
          <w:trHeight w:val="300"/>
          <w:jc w:val="center"/>
        </w:trPr>
        <w:tc>
          <w:tcPr>
            <w:tcW w:w="851" w:type="dxa"/>
            <w:tcBorders>
              <w:top w:val="nil"/>
              <w:left w:val="nil"/>
              <w:bottom w:val="nil"/>
              <w:right w:val="nil"/>
            </w:tcBorders>
          </w:tcPr>
          <w:p w:rsidR="00D0626D" w:rsidRPr="00D30FCB" w:rsidRDefault="00D0626D" w:rsidP="00356876">
            <w:pPr>
              <w:spacing w:after="0" w:line="240" w:lineRule="auto"/>
              <w:jc w:val="right"/>
              <w:rPr>
                <w:rFonts w:ascii="Calibri" w:eastAsia="Times New Roman" w:hAnsi="Calibri" w:cs="Times New Roman"/>
                <w:color w:val="000000"/>
                <w:lang w:eastAsia="fr-FR"/>
              </w:rPr>
            </w:pPr>
          </w:p>
        </w:tc>
        <w:tc>
          <w:tcPr>
            <w:tcW w:w="1549" w:type="dxa"/>
            <w:tcBorders>
              <w:top w:val="nil"/>
              <w:left w:val="nil"/>
              <w:bottom w:val="nil"/>
              <w:right w:val="nil"/>
            </w:tcBorders>
            <w:vAlign w:val="center"/>
          </w:tcPr>
          <w:p w:rsidR="00D0626D" w:rsidRPr="00D30FCB" w:rsidRDefault="00D0626D" w:rsidP="00356876">
            <w:pPr>
              <w:spacing w:after="0" w:line="240" w:lineRule="auto"/>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2014</w:t>
            </w:r>
          </w:p>
        </w:tc>
        <w:tc>
          <w:tcPr>
            <w:tcW w:w="1549" w:type="dxa"/>
            <w:tcBorders>
              <w:top w:val="nil"/>
              <w:left w:val="nil"/>
              <w:bottom w:val="nil"/>
              <w:right w:val="nil"/>
            </w:tcBorders>
            <w:shd w:val="clear" w:color="auto" w:fill="auto"/>
            <w:noWrap/>
            <w:vAlign w:val="bottom"/>
            <w:hideMark/>
          </w:tcPr>
          <w:p w:rsidR="00D0626D" w:rsidRPr="00D30FCB" w:rsidRDefault="00D0626D" w:rsidP="00356876">
            <w:pPr>
              <w:spacing w:after="0" w:line="240" w:lineRule="auto"/>
              <w:jc w:val="center"/>
              <w:rPr>
                <w:rFonts w:ascii="Calibri" w:eastAsia="Times New Roman" w:hAnsi="Calibri" w:cs="Times New Roman"/>
                <w:color w:val="000000"/>
                <w:sz w:val="16"/>
                <w:szCs w:val="16"/>
                <w:lang w:eastAsia="fr-FR"/>
              </w:rPr>
            </w:pPr>
            <w:r w:rsidRPr="00D30FCB">
              <w:rPr>
                <w:rFonts w:ascii="Calibri" w:eastAsia="Times New Roman" w:hAnsi="Calibri" w:cs="Times New Roman"/>
                <w:color w:val="000000"/>
                <w:sz w:val="16"/>
                <w:szCs w:val="16"/>
                <w:lang w:eastAsia="fr-FR"/>
              </w:rPr>
              <w:t>10,485</w:t>
            </w:r>
          </w:p>
        </w:tc>
      </w:tr>
    </w:tbl>
    <w:p w:rsidR="00D0626D" w:rsidRDefault="00D0626D" w:rsidP="00D0626D">
      <w:pPr>
        <w:spacing w:after="0" w:line="240" w:lineRule="auto"/>
        <w:rPr>
          <w:rFonts w:ascii="Arial" w:eastAsia="Times New Roman" w:hAnsi="Arial" w:cs="Arial"/>
          <w:sz w:val="20"/>
          <w:szCs w:val="20"/>
          <w:lang w:eastAsia="fr-FR"/>
        </w:rPr>
      </w:pPr>
    </w:p>
    <w:p w:rsidR="00D0626D" w:rsidRDefault="00D0626D" w:rsidP="00D0626D">
      <w:pPr>
        <w:spacing w:after="0" w:line="240" w:lineRule="auto"/>
        <w:rPr>
          <w:rFonts w:ascii="Arial" w:eastAsia="Times New Roman" w:hAnsi="Arial" w:cs="Arial"/>
          <w:sz w:val="20"/>
          <w:szCs w:val="20"/>
          <w:lang w:eastAsia="fr-FR"/>
        </w:rPr>
      </w:pPr>
    </w:p>
    <w:p w:rsidR="00D0626D" w:rsidRDefault="00D0626D" w:rsidP="00D0626D">
      <w:pPr>
        <w:spacing w:after="0" w:line="240" w:lineRule="auto"/>
        <w:jc w:val="both"/>
        <w:rPr>
          <w:rFonts w:eastAsia="Times New Roman" w:cs="Arial"/>
          <w:lang w:eastAsia="fr-FR"/>
        </w:rPr>
      </w:pPr>
      <w:r w:rsidRPr="00D30FCB">
        <w:rPr>
          <w:rFonts w:eastAsia="Times New Roman" w:cs="Arial"/>
          <w:lang w:eastAsia="fr-FR"/>
        </w:rPr>
        <w:t>La rubrique a12</w:t>
      </w:r>
      <w:r>
        <w:rPr>
          <w:rFonts w:eastAsia="Times New Roman" w:cs="Arial"/>
          <w:lang w:eastAsia="fr-FR"/>
        </w:rPr>
        <w:t xml:space="preserve"> « </w:t>
      </w:r>
      <w:r w:rsidRPr="00D30FCB">
        <w:rPr>
          <w:rFonts w:eastAsia="Times New Roman" w:cs="Arial"/>
          <w:lang w:eastAsia="fr-FR"/>
        </w:rPr>
        <w:t>divers</w:t>
      </w:r>
      <w:r>
        <w:rPr>
          <w:rFonts w:eastAsia="Times New Roman" w:cs="Arial"/>
          <w:lang w:eastAsia="fr-FR"/>
        </w:rPr>
        <w:t> » de l’actif</w:t>
      </w:r>
      <w:r w:rsidRPr="00D30FCB">
        <w:rPr>
          <w:rFonts w:eastAsia="Times New Roman" w:cs="Arial"/>
          <w:lang w:eastAsia="fr-FR"/>
        </w:rPr>
        <w:t xml:space="preserve"> contient, entre autres, des titres acquis par la réserve des employés de la banque de France, pour les retraites.</w:t>
      </w:r>
      <w:r>
        <w:rPr>
          <w:rFonts w:eastAsia="Times New Roman" w:cs="Arial"/>
          <w:lang w:eastAsia="fr-FR"/>
        </w:rPr>
        <w:t xml:space="preserve"> </w:t>
      </w:r>
      <w:r w:rsidRPr="00D30FCB">
        <w:rPr>
          <w:rFonts w:eastAsia="Times New Roman" w:cs="Arial"/>
          <w:lang w:eastAsia="fr-FR"/>
        </w:rPr>
        <w:t>Cette part est inconnue.</w:t>
      </w:r>
    </w:p>
    <w:p w:rsidR="00D0626D" w:rsidRDefault="00D0626D" w:rsidP="00D0626D">
      <w:pPr>
        <w:spacing w:after="0" w:line="240" w:lineRule="auto"/>
        <w:jc w:val="both"/>
        <w:rPr>
          <w:rFonts w:eastAsia="Times New Roman" w:cs="Arial"/>
          <w:lang w:eastAsia="fr-FR"/>
        </w:rPr>
      </w:pPr>
    </w:p>
    <w:p w:rsidR="00D0626D" w:rsidRPr="00BE4115" w:rsidRDefault="00D0626D" w:rsidP="00D0626D">
      <w:pPr>
        <w:spacing w:after="0" w:line="240" w:lineRule="auto"/>
        <w:jc w:val="both"/>
        <w:rPr>
          <w:rFonts w:eastAsia="Times New Roman" w:cs="Times New Roman"/>
          <w:b/>
          <w:lang w:eastAsia="fr-FR"/>
        </w:rPr>
      </w:pPr>
      <w:r w:rsidRPr="00BE4115">
        <w:rPr>
          <w:rFonts w:eastAsia="Times New Roman" w:cs="Arial"/>
          <w:b/>
          <w:lang w:eastAsia="fr-FR"/>
        </w:rPr>
        <w:t xml:space="preserve">Il n’y a donc que le portefeuille monétaire </w:t>
      </w:r>
      <w:r w:rsidRPr="00BE4115">
        <w:rPr>
          <w:rFonts w:eastAsia="Times New Roman" w:cs="Times New Roman"/>
          <w:b/>
          <w:lang w:eastAsia="fr-FR"/>
        </w:rPr>
        <w:t>en euro hors titres acquis dans le cadre de la politique monétaire qui pourrait être concerné par la critique formulée en Allemagne</w:t>
      </w:r>
      <w:r w:rsidRPr="00CE178F">
        <w:rPr>
          <w:rFonts w:eastAsia="Times New Roman" w:cs="Times New Roman"/>
          <w:lang w:eastAsia="fr-FR"/>
        </w:rPr>
        <w:t xml:space="preserve">, </w:t>
      </w:r>
      <w:hyperlink r:id="rId9" w:anchor="q=reuters+Euro+zone+central+banks+printed+billions+of+euros+before+QE+%E2%80%93+study" w:history="1">
        <w:r w:rsidRPr="00CE178F">
          <w:rPr>
            <w:rStyle w:val="Lienhypertexte"/>
            <w:rFonts w:eastAsia="Times New Roman" w:cs="Times New Roman"/>
            <w:lang w:eastAsia="fr-FR"/>
          </w:rPr>
          <w:t>d’après laquelle cela pu être une forme illégitime de financement monétaire de dettes publiques</w:t>
        </w:r>
      </w:hyperlink>
      <w:r w:rsidRPr="00CE178F">
        <w:rPr>
          <w:rFonts w:eastAsia="Times New Roman" w:cs="Times New Roman"/>
          <w:lang w:eastAsia="fr-FR"/>
        </w:rPr>
        <w:t>.</w:t>
      </w:r>
      <w:r w:rsidRPr="00BE4115">
        <w:rPr>
          <w:rFonts w:eastAsia="Times New Roman" w:cs="Times New Roman"/>
          <w:b/>
          <w:lang w:eastAsia="fr-FR"/>
        </w:rPr>
        <w:t xml:space="preserve"> Mais en réalité il y a une absence totale de fondements à ces critiques pour plusieurs raisons.</w:t>
      </w:r>
    </w:p>
    <w:p w:rsidR="00D0626D" w:rsidRDefault="00D0626D" w:rsidP="00D0626D">
      <w:pPr>
        <w:spacing w:after="0" w:line="240" w:lineRule="auto"/>
        <w:jc w:val="both"/>
        <w:rPr>
          <w:rFonts w:eastAsia="Times New Roman" w:cs="Arial"/>
          <w:lang w:eastAsia="fr-FR"/>
        </w:rPr>
      </w:pPr>
    </w:p>
    <w:p w:rsidR="00D0626D" w:rsidRDefault="00D0626D" w:rsidP="00D0626D">
      <w:pPr>
        <w:spacing w:after="0" w:line="240" w:lineRule="auto"/>
        <w:jc w:val="both"/>
        <w:rPr>
          <w:rFonts w:eastAsia="Times New Roman" w:cs="Arial"/>
          <w:lang w:eastAsia="fr-FR"/>
        </w:rPr>
      </w:pPr>
      <w:r>
        <w:rPr>
          <w:rFonts w:eastAsia="Times New Roman" w:cs="Arial"/>
          <w:lang w:eastAsia="fr-FR"/>
        </w:rPr>
        <w:t xml:space="preserve">La Banque de France publie chaque mois pour combien elle détient de titres en euros émis par les administrations publiques françaises. </w:t>
      </w:r>
    </w:p>
    <w:p w:rsidR="00D0626D" w:rsidRDefault="00D0626D" w:rsidP="00D0626D">
      <w:pPr>
        <w:spacing w:after="0" w:line="240" w:lineRule="auto"/>
        <w:jc w:val="both"/>
        <w:rPr>
          <w:rFonts w:eastAsia="Times New Roman" w:cs="Arial"/>
          <w:lang w:eastAsia="fr-FR"/>
        </w:rPr>
      </w:pPr>
    </w:p>
    <w:p w:rsidR="00D0626D" w:rsidRDefault="00D0626D" w:rsidP="00D0626D">
      <w:pPr>
        <w:spacing w:after="0" w:line="240" w:lineRule="auto"/>
        <w:jc w:val="center"/>
        <w:rPr>
          <w:rFonts w:eastAsia="Times New Roman" w:cs="Arial"/>
          <w:lang w:eastAsia="fr-FR"/>
        </w:rPr>
      </w:pPr>
      <w:bookmarkStart w:id="0" w:name="_GoBack"/>
      <w:r>
        <w:rPr>
          <w:noProof/>
          <w:lang w:eastAsia="fr-FR"/>
        </w:rPr>
        <w:lastRenderedPageBreak/>
        <w:drawing>
          <wp:inline distT="0" distB="0" distL="0" distR="0" wp14:anchorId="460ED29C" wp14:editId="4BFBE138">
            <wp:extent cx="4976814" cy="2743200"/>
            <wp:effectExtent l="0" t="0" r="1460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D0626D" w:rsidRPr="00264C41" w:rsidRDefault="00D0626D" w:rsidP="00D0626D">
      <w:pPr>
        <w:spacing w:after="0" w:line="240" w:lineRule="auto"/>
        <w:jc w:val="both"/>
        <w:rPr>
          <w:rFonts w:eastAsia="Times New Roman" w:cs="Arial"/>
          <w:lang w:eastAsia="fr-FR"/>
        </w:rPr>
      </w:pPr>
    </w:p>
    <w:p w:rsidR="00D0626D" w:rsidRDefault="00D0626D" w:rsidP="00D0626D">
      <w:pPr>
        <w:spacing w:after="0" w:line="240" w:lineRule="auto"/>
        <w:jc w:val="both"/>
        <w:rPr>
          <w:rFonts w:eastAsia="Times New Roman" w:cs="Arial"/>
          <w:lang w:eastAsia="fr-FR"/>
        </w:rPr>
      </w:pPr>
    </w:p>
    <w:p w:rsidR="00D0626D" w:rsidRPr="00D30FCB" w:rsidRDefault="00D0626D" w:rsidP="00D0626D">
      <w:pPr>
        <w:spacing w:after="0" w:line="240" w:lineRule="auto"/>
        <w:jc w:val="both"/>
        <w:rPr>
          <w:rFonts w:eastAsia="Times New Roman" w:cs="Arial"/>
          <w:lang w:eastAsia="fr-FR"/>
        </w:rPr>
      </w:pPr>
      <w:r>
        <w:rPr>
          <w:rFonts w:eastAsia="Times New Roman" w:cs="Arial"/>
          <w:lang w:eastAsia="fr-FR"/>
        </w:rPr>
        <w:t xml:space="preserve">L’envolée de 2015 correspond au programme </w:t>
      </w:r>
      <w:r w:rsidRPr="00854DC8">
        <w:rPr>
          <w:rStyle w:val="Accentuation"/>
          <w:i w:val="0"/>
        </w:rPr>
        <w:t>étendu d'achats</w:t>
      </w:r>
      <w:r w:rsidRPr="00854DC8">
        <w:rPr>
          <w:rStyle w:val="st"/>
          <w:i/>
        </w:rPr>
        <w:t xml:space="preserve"> </w:t>
      </w:r>
      <w:r>
        <w:rPr>
          <w:rStyle w:val="st"/>
        </w:rPr>
        <w:t>d'actifs</w:t>
      </w:r>
      <w:r>
        <w:rPr>
          <w:rFonts w:eastAsia="Times New Roman" w:cs="Arial"/>
          <w:lang w:eastAsia="fr-FR"/>
        </w:rPr>
        <w:t xml:space="preserve"> officiel de la BCE, ou assouplissement quantitatif. C’est bien sûr hors du champ de la critique allemande qui porte sur ce qui s’est passé avant. </w:t>
      </w:r>
    </w:p>
    <w:p w:rsidR="00D0626D" w:rsidRPr="001B1450" w:rsidRDefault="00D0626D" w:rsidP="00D0626D">
      <w:pPr>
        <w:spacing w:after="0" w:line="240" w:lineRule="auto"/>
        <w:rPr>
          <w:rFonts w:ascii="Arial" w:eastAsia="Times New Roman" w:hAnsi="Arial" w:cs="Arial"/>
          <w:sz w:val="20"/>
          <w:szCs w:val="20"/>
          <w:lang w:eastAsia="fr-FR"/>
        </w:rPr>
      </w:pPr>
    </w:p>
    <w:p w:rsidR="00D0626D" w:rsidRDefault="00D0626D" w:rsidP="00D0626D">
      <w:pPr>
        <w:spacing w:after="0" w:line="240" w:lineRule="auto"/>
        <w:jc w:val="both"/>
        <w:rPr>
          <w:rFonts w:eastAsia="Times New Roman" w:cs="Times New Roman"/>
          <w:lang w:eastAsia="fr-FR"/>
        </w:rPr>
      </w:pPr>
      <w:r>
        <w:rPr>
          <w:rFonts w:eastAsia="Times New Roman" w:cs="Times New Roman"/>
          <w:lang w:eastAsia="fr-FR"/>
        </w:rPr>
        <w:t>En pourcentage de la dette publique française totale au sens de Maastricht, cette détention de titres nationaux a toujours été très réduite</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center"/>
        <w:rPr>
          <w:rFonts w:eastAsia="Times New Roman" w:cs="Times New Roman"/>
          <w:lang w:eastAsia="fr-FR"/>
        </w:rPr>
      </w:pPr>
      <w:r>
        <w:rPr>
          <w:noProof/>
          <w:lang w:eastAsia="fr-FR"/>
        </w:rPr>
        <w:drawing>
          <wp:inline distT="0" distB="0" distL="0" distR="0" wp14:anchorId="78A0C69D" wp14:editId="02A6BB54">
            <wp:extent cx="4662487" cy="2743200"/>
            <wp:effectExtent l="0" t="0" r="508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626D" w:rsidRDefault="00D0626D" w:rsidP="00D0626D">
      <w:pPr>
        <w:spacing w:after="0" w:line="240" w:lineRule="auto"/>
        <w:jc w:val="center"/>
        <w:rPr>
          <w:rFonts w:eastAsia="Times New Roman" w:cs="Times New Roman"/>
          <w:lang w:eastAsia="fr-FR"/>
        </w:rPr>
      </w:pPr>
    </w:p>
    <w:p w:rsidR="00D0626D" w:rsidRDefault="00D0626D" w:rsidP="00D0626D">
      <w:pPr>
        <w:spacing w:after="0" w:line="240" w:lineRule="auto"/>
        <w:jc w:val="center"/>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r>
        <w:rPr>
          <w:rFonts w:eastAsia="Times New Roman" w:cs="Times New Roman"/>
          <w:lang w:eastAsia="fr-FR"/>
        </w:rPr>
        <w:t xml:space="preserve">Les achats ont été </w:t>
      </w:r>
      <w:proofErr w:type="spellStart"/>
      <w:r>
        <w:rPr>
          <w:rFonts w:eastAsia="Times New Roman" w:cs="Times New Roman"/>
          <w:lang w:eastAsia="fr-FR"/>
        </w:rPr>
        <w:t>été</w:t>
      </w:r>
      <w:proofErr w:type="spellEnd"/>
      <w:r>
        <w:rPr>
          <w:rFonts w:eastAsia="Times New Roman" w:cs="Times New Roman"/>
          <w:lang w:eastAsia="fr-FR"/>
        </w:rPr>
        <w:t xml:space="preserve"> soutenus de 2008 à 2012. Il est toutefois difficile d’imaginer que l’achat sur le marché secondaire, étalé sur 5 ans, de 3% de la dette publique du pays, ait pu significativement en réduire le taux d’intérêt exigé par les marchés ! </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r>
        <w:rPr>
          <w:rFonts w:eastAsia="Times New Roman" w:cs="Times New Roman"/>
          <w:lang w:eastAsia="fr-FR"/>
        </w:rPr>
        <w:t xml:space="preserve">Cette détention totale comprend les obligations publiques nationales achetées en emploi des fonds propres et provision, et celles achetées en investissement de la réserve pour les retraites des employés. Il n’y en a donc qu’une partie qui est adossée à la base monétaire, comme autorisé par l’ANFA.  C’est donc une partie encore inférieure de la dette publique française qui a été achetée au titre de l’ANFA et est adossée à la base monétaire. </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p>
    <w:p w:rsidR="00D0626D" w:rsidRPr="00501032" w:rsidRDefault="00D0626D" w:rsidP="00D0626D">
      <w:pPr>
        <w:spacing w:after="0" w:line="240" w:lineRule="auto"/>
        <w:jc w:val="both"/>
        <w:rPr>
          <w:rFonts w:eastAsia="Times New Roman" w:cs="Times New Roman"/>
          <w:b/>
          <w:lang w:eastAsia="fr-FR"/>
        </w:rPr>
      </w:pPr>
      <w:r>
        <w:rPr>
          <w:rFonts w:eastAsia="Times New Roman" w:cs="Times New Roman"/>
          <w:lang w:eastAsia="fr-FR"/>
        </w:rPr>
        <w:t xml:space="preserve">Les obligations publiques nationales détenues par la banque de France ont effectivement fortement augmenté entre 2010 et 2012. Cela correspond à la crise des dettes publiques des pays de la périphérie de la zone euro. Les critiques se demandent si ces achats de quelques dizaines de milliards d’euros représentent un financement monétaire de la dette publique française. </w:t>
      </w:r>
      <w:r w:rsidRPr="00501032">
        <w:rPr>
          <w:rFonts w:eastAsia="Times New Roman" w:cs="Times New Roman"/>
          <w:b/>
          <w:lang w:eastAsia="fr-FR"/>
        </w:rPr>
        <w:t xml:space="preserve">Mais c’est infondé car on observe que le portefeuille monétaire, hors titres acquis dans le cadre de la politique monétaire, n’a augmenté que d’une dizaine de milliards pendant cette période ! </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r>
        <w:rPr>
          <w:rFonts w:eastAsia="Times New Roman" w:cs="Times New Roman"/>
          <w:lang w:eastAsia="fr-FR"/>
        </w:rPr>
        <w:t xml:space="preserve">Il semblerait donc que, si elles sont en grande partie dans le portefeuille monétaire, l’envolée de la détention d’obligations publiques françaises de 2010 à 2012 correspond à une réallocation du portefeuille. Il est possible que, par prudence, </w:t>
      </w:r>
      <w:r w:rsidRPr="00482BDE">
        <w:rPr>
          <w:rFonts w:eastAsia="Times New Roman" w:cs="Times New Roman"/>
          <w:b/>
          <w:lang w:eastAsia="fr-FR"/>
        </w:rPr>
        <w:t>pour l’allocation de ses titres hors programme SMP</w:t>
      </w:r>
      <w:r>
        <w:rPr>
          <w:rFonts w:eastAsia="Times New Roman" w:cs="Times New Roman"/>
          <w:lang w:eastAsia="fr-FR"/>
        </w:rPr>
        <w:t>, la Banque de France ait vendu des obligations publiques d’autres pays de la zone euro et ait acheté à la place des obligations publiques nationales, sur le marché secondaire.</w:t>
      </w:r>
    </w:p>
    <w:p w:rsidR="00D0626D"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b/>
          <w:lang w:eastAsia="fr-FR"/>
        </w:rPr>
      </w:pPr>
      <w:r>
        <w:rPr>
          <w:rFonts w:eastAsia="Times New Roman" w:cs="Times New Roman"/>
          <w:lang w:eastAsia="fr-FR"/>
        </w:rPr>
        <w:t xml:space="preserve">Les banques centrales de la zone euro, dont la Banque de France, auraient intérêt à publier la composition exacte de leurs différentes catégories d’actifs, avec chaque fois leur exposition à la dette publique de chaque pays. Cette transparence éviterait les interprétations abusives.  </w:t>
      </w:r>
    </w:p>
    <w:p w:rsidR="00D0626D" w:rsidRPr="007D3EB5" w:rsidRDefault="00D0626D" w:rsidP="00D0626D">
      <w:pPr>
        <w:spacing w:after="0" w:line="240" w:lineRule="auto"/>
        <w:jc w:val="both"/>
        <w:rPr>
          <w:rFonts w:eastAsia="Times New Roman" w:cs="Times New Roman"/>
          <w:lang w:eastAsia="fr-FR"/>
        </w:rPr>
      </w:pPr>
    </w:p>
    <w:p w:rsidR="00D0626D" w:rsidRDefault="00D0626D" w:rsidP="00D0626D">
      <w:pPr>
        <w:spacing w:after="0" w:line="240" w:lineRule="auto"/>
        <w:jc w:val="both"/>
        <w:rPr>
          <w:rFonts w:eastAsia="Times New Roman" w:cs="Times New Roman"/>
          <w:lang w:eastAsia="fr-FR"/>
        </w:rPr>
      </w:pPr>
    </w:p>
    <w:p w:rsidR="004D6E87" w:rsidRDefault="004D6E87"/>
    <w:sectPr w:rsidR="004D6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6D"/>
    <w:rsid w:val="00005B03"/>
    <w:rsid w:val="001A0349"/>
    <w:rsid w:val="002A1EF6"/>
    <w:rsid w:val="004D6E87"/>
    <w:rsid w:val="00A45051"/>
    <w:rsid w:val="00CE178F"/>
    <w:rsid w:val="00D0626D"/>
    <w:rsid w:val="00EA5CA6"/>
    <w:rsid w:val="00F3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B244E-6860-4E7D-B970-6C24F120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D0626D"/>
  </w:style>
  <w:style w:type="character" w:styleId="Accentuation">
    <w:name w:val="Emphasis"/>
    <w:basedOn w:val="Policepardfaut"/>
    <w:uiPriority w:val="20"/>
    <w:qFormat/>
    <w:rsid w:val="00D0626D"/>
    <w:rPr>
      <w:i/>
      <w:iCs/>
    </w:rPr>
  </w:style>
  <w:style w:type="character" w:styleId="Lienhypertexte">
    <w:name w:val="Hyperlink"/>
    <w:basedOn w:val="Policepardfaut"/>
    <w:uiPriority w:val="99"/>
    <w:unhideWhenUsed/>
    <w:rsid w:val="00D0626D"/>
    <w:rPr>
      <w:color w:val="0563C1" w:themeColor="hyperlink"/>
      <w:u w:val="single"/>
    </w:rPr>
  </w:style>
  <w:style w:type="character" w:styleId="Lienhypertextesuivivisit">
    <w:name w:val="FollowedHyperlink"/>
    <w:basedOn w:val="Policepardfaut"/>
    <w:uiPriority w:val="99"/>
    <w:semiHidden/>
    <w:unhideWhenUsed/>
    <w:rsid w:val="00D06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explainers/tell-me-more/html/anfa.e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lt.de/wirtschaft/article149435058/Das-grosse-Geheimnis-von-Europas-Geldmacher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reuters.com/article/businessNews/idFRKBN0TU1X920151211?pageNumber=2&amp;virtualBrandChannel=0" TargetMode="External"/><Relationship Id="rId11" Type="http://schemas.openxmlformats.org/officeDocument/2006/relationships/chart" Target="charts/chart2.xml"/><Relationship Id="rId5" Type="http://schemas.openxmlformats.org/officeDocument/2006/relationships/hyperlink" Target="http://www.welt.de/print/wams/wirtschaft/article149394931/Das-Geheimnis-der-Geldmacher.html" TargetMode="External"/><Relationship Id="rId10" Type="http://schemas.openxmlformats.org/officeDocument/2006/relationships/chart" Target="charts/chart1.xml"/><Relationship Id="rId4" Type="http://schemas.openxmlformats.org/officeDocument/2006/relationships/image" Target="media/image1.png"/><Relationship Id="rId9" Type="http://schemas.openxmlformats.org/officeDocument/2006/relationships/hyperlink" Target="https://www.google.f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DOR\AppData\Local\Temp\Webstat_Export_20151211.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DOR\AppData\Local\Temp\Webstat_Export_20151211.csv"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fr-FR" sz="1100" baseline="0"/>
              <a:t>Titres émis par des administrations publiques françaises détenus par la Banque de France Millions d'€</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spPr>
            <a:ln w="28575" cap="rnd">
              <a:solidFill>
                <a:schemeClr val="accent1"/>
              </a:solidFill>
              <a:round/>
            </a:ln>
            <a:effectLst/>
          </c:spPr>
          <c:marker>
            <c:symbol val="none"/>
          </c:marker>
          <c:cat>
            <c:numRef>
              <c:f>Feuil1!$A$2:$A$203</c:f>
              <c:numCache>
                <c:formatCode>mmm\-yy</c:formatCode>
                <c:ptCount val="202"/>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numCache>
            </c:numRef>
          </c:cat>
          <c:val>
            <c:numRef>
              <c:f>Feuil1!$B$2:$B$203</c:f>
              <c:numCache>
                <c:formatCode>General</c:formatCode>
                <c:ptCount val="202"/>
                <c:pt idx="0">
                  <c:v>2657</c:v>
                </c:pt>
                <c:pt idx="1">
                  <c:v>2648</c:v>
                </c:pt>
                <c:pt idx="2">
                  <c:v>2652</c:v>
                </c:pt>
                <c:pt idx="3">
                  <c:v>2668</c:v>
                </c:pt>
                <c:pt idx="4">
                  <c:v>2635</c:v>
                </c:pt>
                <c:pt idx="5">
                  <c:v>2468</c:v>
                </c:pt>
                <c:pt idx="6">
                  <c:v>2416</c:v>
                </c:pt>
                <c:pt idx="7">
                  <c:v>2695</c:v>
                </c:pt>
                <c:pt idx="8">
                  <c:v>2758</c:v>
                </c:pt>
                <c:pt idx="9">
                  <c:v>2704</c:v>
                </c:pt>
                <c:pt idx="10">
                  <c:v>2629</c:v>
                </c:pt>
                <c:pt idx="11">
                  <c:v>2328</c:v>
                </c:pt>
                <c:pt idx="12">
                  <c:v>2775</c:v>
                </c:pt>
                <c:pt idx="13">
                  <c:v>2580</c:v>
                </c:pt>
                <c:pt idx="14">
                  <c:v>2709</c:v>
                </c:pt>
                <c:pt idx="15">
                  <c:v>2703</c:v>
                </c:pt>
                <c:pt idx="16">
                  <c:v>2649</c:v>
                </c:pt>
                <c:pt idx="17">
                  <c:v>2699</c:v>
                </c:pt>
                <c:pt idx="18">
                  <c:v>2694</c:v>
                </c:pt>
                <c:pt idx="19">
                  <c:v>2624</c:v>
                </c:pt>
                <c:pt idx="20">
                  <c:v>2699</c:v>
                </c:pt>
                <c:pt idx="21">
                  <c:v>2663</c:v>
                </c:pt>
                <c:pt idx="22">
                  <c:v>2742</c:v>
                </c:pt>
                <c:pt idx="23">
                  <c:v>2687</c:v>
                </c:pt>
                <c:pt idx="24">
                  <c:v>2674</c:v>
                </c:pt>
                <c:pt idx="25">
                  <c:v>2581</c:v>
                </c:pt>
                <c:pt idx="26">
                  <c:v>2577</c:v>
                </c:pt>
                <c:pt idx="27">
                  <c:v>2655</c:v>
                </c:pt>
                <c:pt idx="28">
                  <c:v>2610</c:v>
                </c:pt>
                <c:pt idx="29">
                  <c:v>2575</c:v>
                </c:pt>
                <c:pt idx="30">
                  <c:v>2742</c:v>
                </c:pt>
                <c:pt idx="31">
                  <c:v>2656</c:v>
                </c:pt>
                <c:pt idx="32">
                  <c:v>2734</c:v>
                </c:pt>
                <c:pt idx="33">
                  <c:v>2618</c:v>
                </c:pt>
                <c:pt idx="34">
                  <c:v>2738</c:v>
                </c:pt>
                <c:pt idx="35">
                  <c:v>2700</c:v>
                </c:pt>
                <c:pt idx="36">
                  <c:v>2688</c:v>
                </c:pt>
                <c:pt idx="37">
                  <c:v>2620</c:v>
                </c:pt>
                <c:pt idx="38">
                  <c:v>2734</c:v>
                </c:pt>
                <c:pt idx="39">
                  <c:v>2647</c:v>
                </c:pt>
                <c:pt idx="40">
                  <c:v>2686</c:v>
                </c:pt>
                <c:pt idx="41">
                  <c:v>2676</c:v>
                </c:pt>
                <c:pt idx="42">
                  <c:v>2701</c:v>
                </c:pt>
                <c:pt idx="43">
                  <c:v>2606</c:v>
                </c:pt>
                <c:pt idx="44">
                  <c:v>2689</c:v>
                </c:pt>
                <c:pt idx="45">
                  <c:v>2692</c:v>
                </c:pt>
                <c:pt idx="46">
                  <c:v>2751</c:v>
                </c:pt>
                <c:pt idx="47">
                  <c:v>2734</c:v>
                </c:pt>
                <c:pt idx="48">
                  <c:v>3560</c:v>
                </c:pt>
                <c:pt idx="49">
                  <c:v>4394</c:v>
                </c:pt>
                <c:pt idx="50">
                  <c:v>4813</c:v>
                </c:pt>
                <c:pt idx="51">
                  <c:v>4857</c:v>
                </c:pt>
                <c:pt idx="52">
                  <c:v>4976</c:v>
                </c:pt>
                <c:pt idx="53">
                  <c:v>4871</c:v>
                </c:pt>
                <c:pt idx="54">
                  <c:v>4999</c:v>
                </c:pt>
                <c:pt idx="55">
                  <c:v>4988</c:v>
                </c:pt>
                <c:pt idx="56">
                  <c:v>5111</c:v>
                </c:pt>
                <c:pt idx="57">
                  <c:v>5022</c:v>
                </c:pt>
                <c:pt idx="58">
                  <c:v>5064</c:v>
                </c:pt>
                <c:pt idx="59">
                  <c:v>4872</c:v>
                </c:pt>
                <c:pt idx="60">
                  <c:v>4479</c:v>
                </c:pt>
                <c:pt idx="61">
                  <c:v>4693</c:v>
                </c:pt>
                <c:pt idx="62">
                  <c:v>4468</c:v>
                </c:pt>
                <c:pt idx="63">
                  <c:v>4859</c:v>
                </c:pt>
                <c:pt idx="64">
                  <c:v>5570</c:v>
                </c:pt>
                <c:pt idx="65">
                  <c:v>5635</c:v>
                </c:pt>
                <c:pt idx="66">
                  <c:v>5403</c:v>
                </c:pt>
                <c:pt idx="67">
                  <c:v>5394</c:v>
                </c:pt>
                <c:pt idx="68">
                  <c:v>5427</c:v>
                </c:pt>
                <c:pt idx="69">
                  <c:v>5563</c:v>
                </c:pt>
                <c:pt idx="70">
                  <c:v>5785</c:v>
                </c:pt>
                <c:pt idx="71">
                  <c:v>5523</c:v>
                </c:pt>
                <c:pt idx="72">
                  <c:v>5672</c:v>
                </c:pt>
                <c:pt idx="73">
                  <c:v>5920</c:v>
                </c:pt>
                <c:pt idx="74">
                  <c:v>6696</c:v>
                </c:pt>
                <c:pt idx="75">
                  <c:v>6483</c:v>
                </c:pt>
                <c:pt idx="76">
                  <c:v>6728</c:v>
                </c:pt>
                <c:pt idx="77">
                  <c:v>6500</c:v>
                </c:pt>
                <c:pt idx="78">
                  <c:v>6543</c:v>
                </c:pt>
                <c:pt idx="79">
                  <c:v>7095</c:v>
                </c:pt>
                <c:pt idx="80">
                  <c:v>7487</c:v>
                </c:pt>
                <c:pt idx="81">
                  <c:v>8013</c:v>
                </c:pt>
                <c:pt idx="82">
                  <c:v>7213</c:v>
                </c:pt>
                <c:pt idx="83">
                  <c:v>6814</c:v>
                </c:pt>
                <c:pt idx="84">
                  <c:v>7541</c:v>
                </c:pt>
                <c:pt idx="85">
                  <c:v>7566</c:v>
                </c:pt>
                <c:pt idx="86">
                  <c:v>6569</c:v>
                </c:pt>
                <c:pt idx="87">
                  <c:v>6746</c:v>
                </c:pt>
                <c:pt idx="88">
                  <c:v>6856</c:v>
                </c:pt>
                <c:pt idx="89">
                  <c:v>6682</c:v>
                </c:pt>
                <c:pt idx="90">
                  <c:v>7111</c:v>
                </c:pt>
                <c:pt idx="91">
                  <c:v>7294</c:v>
                </c:pt>
                <c:pt idx="92">
                  <c:v>7808</c:v>
                </c:pt>
                <c:pt idx="93">
                  <c:v>7969</c:v>
                </c:pt>
                <c:pt idx="94">
                  <c:v>8086</c:v>
                </c:pt>
                <c:pt idx="95">
                  <c:v>7033</c:v>
                </c:pt>
                <c:pt idx="96">
                  <c:v>7450</c:v>
                </c:pt>
                <c:pt idx="97">
                  <c:v>6305</c:v>
                </c:pt>
                <c:pt idx="98">
                  <c:v>6722</c:v>
                </c:pt>
                <c:pt idx="99">
                  <c:v>5860</c:v>
                </c:pt>
                <c:pt idx="100">
                  <c:v>5813</c:v>
                </c:pt>
                <c:pt idx="101">
                  <c:v>6773</c:v>
                </c:pt>
                <c:pt idx="102">
                  <c:v>6494</c:v>
                </c:pt>
                <c:pt idx="103">
                  <c:v>5287</c:v>
                </c:pt>
                <c:pt idx="104">
                  <c:v>6611</c:v>
                </c:pt>
                <c:pt idx="105">
                  <c:v>8847</c:v>
                </c:pt>
                <c:pt idx="106">
                  <c:v>8936</c:v>
                </c:pt>
                <c:pt idx="107">
                  <c:v>8888</c:v>
                </c:pt>
                <c:pt idx="108">
                  <c:v>10425</c:v>
                </c:pt>
                <c:pt idx="109">
                  <c:v>11457</c:v>
                </c:pt>
                <c:pt idx="110">
                  <c:v>11879</c:v>
                </c:pt>
                <c:pt idx="111">
                  <c:v>11257</c:v>
                </c:pt>
                <c:pt idx="112">
                  <c:v>12205</c:v>
                </c:pt>
                <c:pt idx="113">
                  <c:v>13048</c:v>
                </c:pt>
                <c:pt idx="114">
                  <c:v>15384</c:v>
                </c:pt>
                <c:pt idx="115">
                  <c:v>16793</c:v>
                </c:pt>
                <c:pt idx="116">
                  <c:v>14981</c:v>
                </c:pt>
                <c:pt idx="117">
                  <c:v>14389</c:v>
                </c:pt>
                <c:pt idx="118">
                  <c:v>14151</c:v>
                </c:pt>
                <c:pt idx="119">
                  <c:v>14291</c:v>
                </c:pt>
                <c:pt idx="120">
                  <c:v>14969</c:v>
                </c:pt>
                <c:pt idx="121">
                  <c:v>16102</c:v>
                </c:pt>
                <c:pt idx="122">
                  <c:v>17332</c:v>
                </c:pt>
                <c:pt idx="123">
                  <c:v>18913</c:v>
                </c:pt>
                <c:pt idx="124">
                  <c:v>18294</c:v>
                </c:pt>
                <c:pt idx="125">
                  <c:v>18547</c:v>
                </c:pt>
                <c:pt idx="126">
                  <c:v>18051</c:v>
                </c:pt>
                <c:pt idx="127">
                  <c:v>17958</c:v>
                </c:pt>
                <c:pt idx="128">
                  <c:v>18087</c:v>
                </c:pt>
                <c:pt idx="129">
                  <c:v>17328</c:v>
                </c:pt>
                <c:pt idx="130">
                  <c:v>17120</c:v>
                </c:pt>
                <c:pt idx="131">
                  <c:v>16612</c:v>
                </c:pt>
                <c:pt idx="132">
                  <c:v>16343</c:v>
                </c:pt>
                <c:pt idx="133">
                  <c:v>16590</c:v>
                </c:pt>
                <c:pt idx="134">
                  <c:v>16515</c:v>
                </c:pt>
                <c:pt idx="135">
                  <c:v>16299</c:v>
                </c:pt>
                <c:pt idx="136">
                  <c:v>16208</c:v>
                </c:pt>
                <c:pt idx="137">
                  <c:v>16206</c:v>
                </c:pt>
                <c:pt idx="138">
                  <c:v>16449</c:v>
                </c:pt>
                <c:pt idx="139">
                  <c:v>16315</c:v>
                </c:pt>
                <c:pt idx="140">
                  <c:v>16954</c:v>
                </c:pt>
                <c:pt idx="141">
                  <c:v>17862</c:v>
                </c:pt>
                <c:pt idx="142">
                  <c:v>19595</c:v>
                </c:pt>
                <c:pt idx="143">
                  <c:v>22324</c:v>
                </c:pt>
                <c:pt idx="144">
                  <c:v>24244</c:v>
                </c:pt>
                <c:pt idx="145">
                  <c:v>25587</c:v>
                </c:pt>
                <c:pt idx="146">
                  <c:v>26717</c:v>
                </c:pt>
                <c:pt idx="147">
                  <c:v>27765</c:v>
                </c:pt>
                <c:pt idx="148">
                  <c:v>28732</c:v>
                </c:pt>
                <c:pt idx="149">
                  <c:v>28988</c:v>
                </c:pt>
                <c:pt idx="150">
                  <c:v>28862</c:v>
                </c:pt>
                <c:pt idx="151">
                  <c:v>31978</c:v>
                </c:pt>
                <c:pt idx="152">
                  <c:v>34978</c:v>
                </c:pt>
                <c:pt idx="153">
                  <c:v>35496</c:v>
                </c:pt>
                <c:pt idx="154">
                  <c:v>41300</c:v>
                </c:pt>
                <c:pt idx="155">
                  <c:v>42865</c:v>
                </c:pt>
                <c:pt idx="156">
                  <c:v>46120</c:v>
                </c:pt>
                <c:pt idx="157">
                  <c:v>48448</c:v>
                </c:pt>
                <c:pt idx="158">
                  <c:v>52270</c:v>
                </c:pt>
                <c:pt idx="159">
                  <c:v>53887</c:v>
                </c:pt>
                <c:pt idx="160">
                  <c:v>58398</c:v>
                </c:pt>
                <c:pt idx="161">
                  <c:v>62047</c:v>
                </c:pt>
                <c:pt idx="162">
                  <c:v>63958</c:v>
                </c:pt>
                <c:pt idx="163">
                  <c:v>63747</c:v>
                </c:pt>
                <c:pt idx="164">
                  <c:v>62041</c:v>
                </c:pt>
                <c:pt idx="165">
                  <c:v>58062</c:v>
                </c:pt>
                <c:pt idx="166">
                  <c:v>59469</c:v>
                </c:pt>
                <c:pt idx="167">
                  <c:v>59932</c:v>
                </c:pt>
                <c:pt idx="168">
                  <c:v>59921</c:v>
                </c:pt>
                <c:pt idx="169">
                  <c:v>57043</c:v>
                </c:pt>
                <c:pt idx="170">
                  <c:v>57907</c:v>
                </c:pt>
                <c:pt idx="171">
                  <c:v>57521</c:v>
                </c:pt>
                <c:pt idx="172">
                  <c:v>58751</c:v>
                </c:pt>
                <c:pt idx="173">
                  <c:v>58409</c:v>
                </c:pt>
                <c:pt idx="174">
                  <c:v>56139</c:v>
                </c:pt>
                <c:pt idx="175">
                  <c:v>53387</c:v>
                </c:pt>
                <c:pt idx="176">
                  <c:v>54482</c:v>
                </c:pt>
                <c:pt idx="177">
                  <c:v>51240</c:v>
                </c:pt>
                <c:pt idx="178">
                  <c:v>49913</c:v>
                </c:pt>
                <c:pt idx="179">
                  <c:v>47317</c:v>
                </c:pt>
                <c:pt idx="180">
                  <c:v>46697</c:v>
                </c:pt>
                <c:pt idx="181">
                  <c:v>45043</c:v>
                </c:pt>
                <c:pt idx="182">
                  <c:v>43522</c:v>
                </c:pt>
                <c:pt idx="183">
                  <c:v>40983</c:v>
                </c:pt>
                <c:pt idx="184">
                  <c:v>40417</c:v>
                </c:pt>
                <c:pt idx="185">
                  <c:v>40329</c:v>
                </c:pt>
                <c:pt idx="186">
                  <c:v>39991</c:v>
                </c:pt>
                <c:pt idx="187">
                  <c:v>40054</c:v>
                </c:pt>
                <c:pt idx="188">
                  <c:v>41102</c:v>
                </c:pt>
                <c:pt idx="189">
                  <c:v>40100</c:v>
                </c:pt>
                <c:pt idx="190">
                  <c:v>41183</c:v>
                </c:pt>
                <c:pt idx="191">
                  <c:v>42193</c:v>
                </c:pt>
                <c:pt idx="192">
                  <c:v>43687</c:v>
                </c:pt>
                <c:pt idx="193">
                  <c:v>43904</c:v>
                </c:pt>
                <c:pt idx="194">
                  <c:v>52743</c:v>
                </c:pt>
                <c:pt idx="195">
                  <c:v>60529</c:v>
                </c:pt>
                <c:pt idx="196">
                  <c:v>69976</c:v>
                </c:pt>
                <c:pt idx="197">
                  <c:v>79474</c:v>
                </c:pt>
                <c:pt idx="198">
                  <c:v>88379</c:v>
                </c:pt>
                <c:pt idx="199">
                  <c:v>95882</c:v>
                </c:pt>
                <c:pt idx="200">
                  <c:v>104160</c:v>
                </c:pt>
                <c:pt idx="201">
                  <c:v>112526</c:v>
                </c:pt>
              </c:numCache>
            </c:numRef>
          </c:val>
          <c:smooth val="0"/>
        </c:ser>
        <c:dLbls>
          <c:showLegendKey val="0"/>
          <c:showVal val="0"/>
          <c:showCatName val="0"/>
          <c:showSerName val="0"/>
          <c:showPercent val="0"/>
          <c:showBubbleSize val="0"/>
        </c:dLbls>
        <c:smooth val="0"/>
        <c:axId val="484545600"/>
        <c:axId val="484497928"/>
      </c:lineChart>
      <c:dateAx>
        <c:axId val="4845456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4497928"/>
        <c:crosses val="autoZero"/>
        <c:auto val="1"/>
        <c:lblOffset val="100"/>
        <c:baseTimeUnit val="months"/>
      </c:dateAx>
      <c:valAx>
        <c:axId val="484497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454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100"/>
              <a:t>T</a:t>
            </a:r>
            <a:r>
              <a:rPr lang="fr-FR" sz="1100" b="0" i="0" u="none" strike="noStrike" baseline="0">
                <a:effectLst/>
              </a:rPr>
              <a:t>itres émis par des administrations publiques françaises détenus par la Banque de France en pourcentage de la dette publique</a:t>
            </a:r>
            <a:endParaRPr lang="fr-FR"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spPr>
            <a:ln w="28575" cap="rnd">
              <a:solidFill>
                <a:schemeClr val="accent1"/>
              </a:solidFill>
              <a:round/>
            </a:ln>
            <a:effectLst/>
          </c:spPr>
          <c:marker>
            <c:symbol val="none"/>
          </c:marker>
          <c:cat>
            <c:numRef>
              <c:f>Feuil1!$G$2:$G$203</c:f>
              <c:numCache>
                <c:formatCode>mmm\-yy</c:formatCode>
                <c:ptCount val="202"/>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numCache>
            </c:numRef>
          </c:cat>
          <c:val>
            <c:numRef>
              <c:f>Feuil1!$H$2:$H$203</c:f>
              <c:numCache>
                <c:formatCode>0.00%</c:formatCode>
                <c:ptCount val="202"/>
                <c:pt idx="0">
                  <c:v>3.169131679389313E-3</c:v>
                </c:pt>
                <c:pt idx="1">
                  <c:v>3.1583969465648854E-3</c:v>
                </c:pt>
                <c:pt idx="2">
                  <c:v>3.1631679389312979E-3</c:v>
                </c:pt>
                <c:pt idx="3">
                  <c:v>3.1921512323522376E-3</c:v>
                </c:pt>
                <c:pt idx="4">
                  <c:v>3.1526681024168462E-3</c:v>
                </c:pt>
                <c:pt idx="5">
                  <c:v>2.9528595357741086E-3</c:v>
                </c:pt>
                <c:pt idx="6">
                  <c:v>2.8524203069657614E-3</c:v>
                </c:pt>
                <c:pt idx="7">
                  <c:v>3.1818181818181819E-3</c:v>
                </c:pt>
                <c:pt idx="8">
                  <c:v>3.2561983471074379E-3</c:v>
                </c:pt>
                <c:pt idx="9">
                  <c:v>3.1890553131265478E-3</c:v>
                </c:pt>
                <c:pt idx="10">
                  <c:v>3.1006014860242952E-3</c:v>
                </c:pt>
                <c:pt idx="11">
                  <c:v>2.7456067932539216E-3</c:v>
                </c:pt>
                <c:pt idx="12">
                  <c:v>3.2809174745802791E-3</c:v>
                </c:pt>
                <c:pt idx="13">
                  <c:v>3.0503665169070702E-3</c:v>
                </c:pt>
                <c:pt idx="14">
                  <c:v>3.2028848427524239E-3</c:v>
                </c:pt>
                <c:pt idx="15">
                  <c:v>3.1510841688039172E-3</c:v>
                </c:pt>
                <c:pt idx="16">
                  <c:v>3.0881324318022848E-3</c:v>
                </c:pt>
                <c:pt idx="17">
                  <c:v>3.1464210771741663E-3</c:v>
                </c:pt>
                <c:pt idx="18">
                  <c:v>3.1267409470752089E-3</c:v>
                </c:pt>
                <c:pt idx="19">
                  <c:v>3.0454967502321264E-3</c:v>
                </c:pt>
                <c:pt idx="20">
                  <c:v>3.1325441039925721E-3</c:v>
                </c:pt>
                <c:pt idx="21">
                  <c:v>3.0570542991619791E-3</c:v>
                </c:pt>
                <c:pt idx="22">
                  <c:v>3.1477442314315233E-3</c:v>
                </c:pt>
                <c:pt idx="23">
                  <c:v>3.0846056709907016E-3</c:v>
                </c:pt>
                <c:pt idx="24">
                  <c:v>3.0859780727062898E-3</c:v>
                </c:pt>
                <c:pt idx="25">
                  <c:v>2.9786497403346797E-3</c:v>
                </c:pt>
                <c:pt idx="26">
                  <c:v>2.9740334679746105E-3</c:v>
                </c:pt>
                <c:pt idx="27">
                  <c:v>2.9851585338430404E-3</c:v>
                </c:pt>
                <c:pt idx="28">
                  <c:v>2.9345626264897684E-3</c:v>
                </c:pt>
                <c:pt idx="29">
                  <c:v>2.8952102541038903E-3</c:v>
                </c:pt>
                <c:pt idx="30">
                  <c:v>3.0493772241992883E-3</c:v>
                </c:pt>
                <c:pt idx="31">
                  <c:v>2.9537366548042705E-3</c:v>
                </c:pt>
                <c:pt idx="32">
                  <c:v>3.0404804270462633E-3</c:v>
                </c:pt>
                <c:pt idx="33">
                  <c:v>2.9147183255399688E-3</c:v>
                </c:pt>
                <c:pt idx="34">
                  <c:v>3.0483188599421066E-3</c:v>
                </c:pt>
                <c:pt idx="35">
                  <c:v>3.0060120240480962E-3</c:v>
                </c:pt>
                <c:pt idx="36">
                  <c:v>2.952548330404218E-3</c:v>
                </c:pt>
                <c:pt idx="37">
                  <c:v>2.8778558875219682E-3</c:v>
                </c:pt>
                <c:pt idx="38">
                  <c:v>3.0030755711775042E-3</c:v>
                </c:pt>
                <c:pt idx="39">
                  <c:v>2.8237678685726479E-3</c:v>
                </c:pt>
                <c:pt idx="40">
                  <c:v>2.865372306379347E-3</c:v>
                </c:pt>
                <c:pt idx="41">
                  <c:v>2.8547045018135269E-3</c:v>
                </c:pt>
                <c:pt idx="42">
                  <c:v>2.870045691212411E-3</c:v>
                </c:pt>
                <c:pt idx="43">
                  <c:v>2.7690999893741366E-3</c:v>
                </c:pt>
                <c:pt idx="44">
                  <c:v>2.8572946551907344E-3</c:v>
                </c:pt>
                <c:pt idx="45">
                  <c:v>2.8109011172601024E-3</c:v>
                </c:pt>
                <c:pt idx="46">
                  <c:v>2.8725070481361594E-3</c:v>
                </c:pt>
                <c:pt idx="47">
                  <c:v>2.8547561866972956E-3</c:v>
                </c:pt>
                <c:pt idx="48">
                  <c:v>3.5985039927221266E-3</c:v>
                </c:pt>
                <c:pt idx="49">
                  <c:v>4.4415243101182658E-3</c:v>
                </c:pt>
                <c:pt idx="50">
                  <c:v>4.8650561002729206E-3</c:v>
                </c:pt>
                <c:pt idx="51">
                  <c:v>4.7196579535516477E-3</c:v>
                </c:pt>
                <c:pt idx="52">
                  <c:v>4.8352929744436895E-3</c:v>
                </c:pt>
                <c:pt idx="53">
                  <c:v>4.7332620736565941E-3</c:v>
                </c:pt>
                <c:pt idx="54">
                  <c:v>4.7841898746291507E-3</c:v>
                </c:pt>
                <c:pt idx="55">
                  <c:v>4.7736625514403289E-3</c:v>
                </c:pt>
                <c:pt idx="56">
                  <c:v>4.8913771652789734E-3</c:v>
                </c:pt>
                <c:pt idx="57">
                  <c:v>4.7769428326833443E-3</c:v>
                </c:pt>
                <c:pt idx="58">
                  <c:v>4.8168933701131936E-3</c:v>
                </c:pt>
                <c:pt idx="59">
                  <c:v>4.634262341862456E-3</c:v>
                </c:pt>
                <c:pt idx="60">
                  <c:v>4.1746667909404421E-3</c:v>
                </c:pt>
                <c:pt idx="61">
                  <c:v>4.3741262000186413E-3</c:v>
                </c:pt>
                <c:pt idx="62">
                  <c:v>4.1644142044924967E-3</c:v>
                </c:pt>
                <c:pt idx="63">
                  <c:v>4.3889440881582512E-3</c:v>
                </c:pt>
                <c:pt idx="64">
                  <c:v>5.0311624966127722E-3</c:v>
                </c:pt>
                <c:pt idx="65">
                  <c:v>5.0898744467527774E-3</c:v>
                </c:pt>
                <c:pt idx="66">
                  <c:v>4.8579392195648267E-3</c:v>
                </c:pt>
                <c:pt idx="67">
                  <c:v>4.849847149793203E-3</c:v>
                </c:pt>
                <c:pt idx="68">
                  <c:v>4.8795180722891567E-3</c:v>
                </c:pt>
                <c:pt idx="69">
                  <c:v>4.9470875944864386E-3</c:v>
                </c:pt>
                <c:pt idx="70">
                  <c:v>5.1445086705202312E-3</c:v>
                </c:pt>
                <c:pt idx="71">
                  <c:v>4.9115162294353044E-3</c:v>
                </c:pt>
                <c:pt idx="72">
                  <c:v>4.9429193899782134E-3</c:v>
                </c:pt>
                <c:pt idx="73">
                  <c:v>5.1590413943355118E-3</c:v>
                </c:pt>
                <c:pt idx="74">
                  <c:v>5.8352941176470592E-3</c:v>
                </c:pt>
                <c:pt idx="75">
                  <c:v>5.5576510930132874E-3</c:v>
                </c:pt>
                <c:pt idx="76">
                  <c:v>5.7676810972996139E-3</c:v>
                </c:pt>
                <c:pt idx="77">
                  <c:v>5.5722246035147882E-3</c:v>
                </c:pt>
                <c:pt idx="78">
                  <c:v>5.5803837953091687E-3</c:v>
                </c:pt>
                <c:pt idx="79">
                  <c:v>6.0511727078891254E-3</c:v>
                </c:pt>
                <c:pt idx="80">
                  <c:v>6.385501066098081E-3</c:v>
                </c:pt>
                <c:pt idx="81">
                  <c:v>6.7290896876049718E-3</c:v>
                </c:pt>
                <c:pt idx="82">
                  <c:v>6.0572724219012429E-3</c:v>
                </c:pt>
                <c:pt idx="83">
                  <c:v>5.7222035606315086E-3</c:v>
                </c:pt>
                <c:pt idx="84">
                  <c:v>6.2878345701659301E-3</c:v>
                </c:pt>
                <c:pt idx="85">
                  <c:v>6.3086800633702991E-3</c:v>
                </c:pt>
                <c:pt idx="86">
                  <c:v>5.4773617943800548E-3</c:v>
                </c:pt>
                <c:pt idx="87">
                  <c:v>5.6399966557980101E-3</c:v>
                </c:pt>
                <c:pt idx="88">
                  <c:v>5.731962210517515E-3</c:v>
                </c:pt>
                <c:pt idx="89">
                  <c:v>5.5864894239612073E-3</c:v>
                </c:pt>
                <c:pt idx="90">
                  <c:v>5.8870767447636394E-3</c:v>
                </c:pt>
                <c:pt idx="91">
                  <c:v>6.0385793525954135E-3</c:v>
                </c:pt>
                <c:pt idx="92">
                  <c:v>6.4641112674890307E-3</c:v>
                </c:pt>
                <c:pt idx="93">
                  <c:v>6.6730865851616144E-3</c:v>
                </c:pt>
                <c:pt idx="94">
                  <c:v>6.7710601239323398E-3</c:v>
                </c:pt>
                <c:pt idx="95">
                  <c:v>5.8892982749958129E-3</c:v>
                </c:pt>
                <c:pt idx="96">
                  <c:v>6.053465507434793E-3</c:v>
                </c:pt>
                <c:pt idx="97">
                  <c:v>5.1231006744129354E-3</c:v>
                </c:pt>
                <c:pt idx="98">
                  <c:v>5.4619322336881453E-3</c:v>
                </c:pt>
                <c:pt idx="99">
                  <c:v>4.6393793048848074E-3</c:v>
                </c:pt>
                <c:pt idx="100">
                  <c:v>4.6021692660913622E-3</c:v>
                </c:pt>
                <c:pt idx="101">
                  <c:v>5.362204101021297E-3</c:v>
                </c:pt>
                <c:pt idx="102">
                  <c:v>5.1323796728048685E-3</c:v>
                </c:pt>
                <c:pt idx="103">
                  <c:v>4.1784557022050105E-3</c:v>
                </c:pt>
                <c:pt idx="104">
                  <c:v>5.2248478621670751E-3</c:v>
                </c:pt>
                <c:pt idx="105">
                  <c:v>7.0606544293695134E-3</c:v>
                </c:pt>
                <c:pt idx="106">
                  <c:v>7.1316839584996006E-3</c:v>
                </c:pt>
                <c:pt idx="107">
                  <c:v>7.0933758978451713E-3</c:v>
                </c:pt>
                <c:pt idx="108">
                  <c:v>8.0489499691167379E-3</c:v>
                </c:pt>
                <c:pt idx="109">
                  <c:v>8.84573810994441E-3</c:v>
                </c:pt>
                <c:pt idx="110">
                  <c:v>9.1715565163681279E-3</c:v>
                </c:pt>
                <c:pt idx="111">
                  <c:v>8.5565521435086653E-3</c:v>
                </c:pt>
                <c:pt idx="112">
                  <c:v>9.2771359075706893E-3</c:v>
                </c:pt>
                <c:pt idx="113">
                  <c:v>9.9179081787777439E-3</c:v>
                </c:pt>
                <c:pt idx="114">
                  <c:v>1.1544349392165691E-2</c:v>
                </c:pt>
                <c:pt idx="115">
                  <c:v>1.2601680924508479E-2</c:v>
                </c:pt>
                <c:pt idx="116">
                  <c:v>1.1241933063184752E-2</c:v>
                </c:pt>
                <c:pt idx="117">
                  <c:v>1.0594168752761007E-2</c:v>
                </c:pt>
                <c:pt idx="118">
                  <c:v>1.0418936828154911E-2</c:v>
                </c:pt>
                <c:pt idx="119">
                  <c:v>1.0522014430864379E-2</c:v>
                </c:pt>
                <c:pt idx="120">
                  <c:v>1.0596771909953277E-2</c:v>
                </c:pt>
                <c:pt idx="121">
                  <c:v>1.1398839020246354E-2</c:v>
                </c:pt>
                <c:pt idx="122">
                  <c:v>1.2269573835480673E-2</c:v>
                </c:pt>
                <c:pt idx="123">
                  <c:v>1.281542214392194E-2</c:v>
                </c:pt>
                <c:pt idx="124">
                  <c:v>1.2395988616343678E-2</c:v>
                </c:pt>
                <c:pt idx="125">
                  <c:v>1.2567421059764196E-2</c:v>
                </c:pt>
                <c:pt idx="126">
                  <c:v>1.1986851716581447E-2</c:v>
                </c:pt>
                <c:pt idx="127">
                  <c:v>1.192509462779733E-2</c:v>
                </c:pt>
                <c:pt idx="128">
                  <c:v>1.2010757686433362E-2</c:v>
                </c:pt>
                <c:pt idx="129">
                  <c:v>1.1313658918777749E-2</c:v>
                </c:pt>
                <c:pt idx="130">
                  <c:v>1.1177853225385219E-2</c:v>
                </c:pt>
                <c:pt idx="131">
                  <c:v>1.084617393575346E-2</c:v>
                </c:pt>
                <c:pt idx="132">
                  <c:v>1.0371240005076787E-2</c:v>
                </c:pt>
                <c:pt idx="133">
                  <c:v>1.0527985784998096E-2</c:v>
                </c:pt>
                <c:pt idx="134">
                  <c:v>1.0480390912552354E-2</c:v>
                </c:pt>
                <c:pt idx="135">
                  <c:v>9.9749082007343937E-3</c:v>
                </c:pt>
                <c:pt idx="136">
                  <c:v>9.9192166462668298E-3</c:v>
                </c:pt>
                <c:pt idx="137">
                  <c:v>9.9179926560587512E-3</c:v>
                </c:pt>
                <c:pt idx="138">
                  <c:v>1.0192712851654481E-2</c:v>
                </c:pt>
                <c:pt idx="139">
                  <c:v>1.0109679018465732E-2</c:v>
                </c:pt>
                <c:pt idx="140">
                  <c:v>1.0505638864791176E-2</c:v>
                </c:pt>
                <c:pt idx="141">
                  <c:v>1.0941500765696784E-2</c:v>
                </c:pt>
                <c:pt idx="142">
                  <c:v>1.2003062787136294E-2</c:v>
                </c:pt>
                <c:pt idx="143">
                  <c:v>1.3674732006125574E-2</c:v>
                </c:pt>
                <c:pt idx="144">
                  <c:v>1.4366814814814815E-2</c:v>
                </c:pt>
                <c:pt idx="145">
                  <c:v>1.5162666666666666E-2</c:v>
                </c:pt>
                <c:pt idx="146">
                  <c:v>1.5832296296296296E-2</c:v>
                </c:pt>
                <c:pt idx="147">
                  <c:v>1.6021350259665321E-2</c:v>
                </c:pt>
                <c:pt idx="148">
                  <c:v>1.6579342181188689E-2</c:v>
                </c:pt>
                <c:pt idx="149">
                  <c:v>1.6727062896710904E-2</c:v>
                </c:pt>
                <c:pt idx="150">
                  <c:v>1.6690955355077492E-2</c:v>
                </c:pt>
                <c:pt idx="151">
                  <c:v>1.8492944714318761E-2</c:v>
                </c:pt>
                <c:pt idx="152">
                  <c:v>2.0227851029377748E-2</c:v>
                </c:pt>
                <c:pt idx="153">
                  <c:v>2.0232558139534885E-2</c:v>
                </c:pt>
                <c:pt idx="154">
                  <c:v>2.3540811673506613E-2</c:v>
                </c:pt>
                <c:pt idx="155">
                  <c:v>2.4432854537163703E-2</c:v>
                </c:pt>
                <c:pt idx="156">
                  <c:v>2.5247714457765368E-2</c:v>
                </c:pt>
                <c:pt idx="157">
                  <c:v>2.6522143756500794E-2</c:v>
                </c:pt>
                <c:pt idx="158">
                  <c:v>2.861444134231127E-2</c:v>
                </c:pt>
                <c:pt idx="159">
                  <c:v>2.8819659856669164E-2</c:v>
                </c:pt>
                <c:pt idx="160">
                  <c:v>3.1232217349449139E-2</c:v>
                </c:pt>
                <c:pt idx="161">
                  <c:v>3.3183762969301527E-2</c:v>
                </c:pt>
                <c:pt idx="162">
                  <c:v>3.4471273040853727E-2</c:v>
                </c:pt>
                <c:pt idx="163">
                  <c:v>3.4357550932413494E-2</c:v>
                </c:pt>
                <c:pt idx="164">
                  <c:v>3.3438072652797239E-2</c:v>
                </c:pt>
                <c:pt idx="165">
                  <c:v>3.1062486625294244E-2</c:v>
                </c:pt>
                <c:pt idx="166">
                  <c:v>3.1815215065268562E-2</c:v>
                </c:pt>
                <c:pt idx="167">
                  <c:v>3.206291461587845E-2</c:v>
                </c:pt>
                <c:pt idx="168">
                  <c:v>3.1380466090599635E-2</c:v>
                </c:pt>
                <c:pt idx="169">
                  <c:v>2.987326525268395E-2</c:v>
                </c:pt>
                <c:pt idx="170">
                  <c:v>3.0325739722440428E-2</c:v>
                </c:pt>
                <c:pt idx="171">
                  <c:v>2.9500974458918864E-2</c:v>
                </c:pt>
                <c:pt idx="172">
                  <c:v>3.0131808390604163E-2</c:v>
                </c:pt>
                <c:pt idx="173">
                  <c:v>2.995640578520874E-2</c:v>
                </c:pt>
                <c:pt idx="174">
                  <c:v>2.8954046108618289E-2</c:v>
                </c:pt>
                <c:pt idx="175">
                  <c:v>2.753468461498788E-2</c:v>
                </c:pt>
                <c:pt idx="176">
                  <c:v>2.80994378255712E-2</c:v>
                </c:pt>
                <c:pt idx="177">
                  <c:v>2.6231186648919831E-2</c:v>
                </c:pt>
                <c:pt idx="178">
                  <c:v>2.5551858298351594E-2</c:v>
                </c:pt>
                <c:pt idx="179">
                  <c:v>2.4222893416606942E-2</c:v>
                </c:pt>
                <c:pt idx="180">
                  <c:v>2.3361348741807994E-2</c:v>
                </c:pt>
                <c:pt idx="181">
                  <c:v>2.2533893641502826E-2</c:v>
                </c:pt>
                <c:pt idx="182">
                  <c:v>2.1772975136324979E-2</c:v>
                </c:pt>
                <c:pt idx="183">
                  <c:v>2.021256658117972E-2</c:v>
                </c:pt>
                <c:pt idx="184">
                  <c:v>1.9933418820280133E-2</c:v>
                </c:pt>
                <c:pt idx="185">
                  <c:v>1.9890017754981257E-2</c:v>
                </c:pt>
                <c:pt idx="186">
                  <c:v>1.9647735088926008E-2</c:v>
                </c:pt>
                <c:pt idx="187">
                  <c:v>1.9678687235924142E-2</c:v>
                </c:pt>
                <c:pt idx="188">
                  <c:v>2.0193573744718484E-2</c:v>
                </c:pt>
                <c:pt idx="189">
                  <c:v>1.9678084208460105E-2</c:v>
                </c:pt>
                <c:pt idx="190">
                  <c:v>2.0209539699676121E-2</c:v>
                </c:pt>
                <c:pt idx="191">
                  <c:v>2.0705172244577484E-2</c:v>
                </c:pt>
                <c:pt idx="192">
                  <c:v>2.0908873360773426E-2</c:v>
                </c:pt>
                <c:pt idx="193">
                  <c:v>2.1012730927539008E-2</c:v>
                </c:pt>
                <c:pt idx="194">
                  <c:v>2.5243131999617113E-2</c:v>
                </c:pt>
                <c:pt idx="195">
                  <c:v>2.8749406288591243E-2</c:v>
                </c:pt>
                <c:pt idx="196">
                  <c:v>3.3236439631423954E-2</c:v>
                </c:pt>
                <c:pt idx="197">
                  <c:v>3.7747696399734014E-2</c:v>
                </c:pt>
                <c:pt idx="198">
                  <c:v>4.1977296475729078E-2</c:v>
                </c:pt>
                <c:pt idx="199">
                  <c:v>4.5540989835660683E-2</c:v>
                </c:pt>
                <c:pt idx="200">
                  <c:v>4.9472784269022511E-2</c:v>
                </c:pt>
                <c:pt idx="201">
                  <c:v>5.3446375985560936E-2</c:v>
                </c:pt>
              </c:numCache>
            </c:numRef>
          </c:val>
          <c:smooth val="0"/>
        </c:ser>
        <c:dLbls>
          <c:showLegendKey val="0"/>
          <c:showVal val="0"/>
          <c:showCatName val="0"/>
          <c:showSerName val="0"/>
          <c:showPercent val="0"/>
          <c:showBubbleSize val="0"/>
        </c:dLbls>
        <c:smooth val="0"/>
        <c:axId val="484496752"/>
        <c:axId val="811080240"/>
      </c:lineChart>
      <c:dateAx>
        <c:axId val="48449675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11080240"/>
        <c:crosses val="autoZero"/>
        <c:auto val="1"/>
        <c:lblOffset val="100"/>
        <c:baseTimeUnit val="months"/>
      </c:dateAx>
      <c:valAx>
        <c:axId val="811080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449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0.01566</cdr:x>
      <cdr:y>0.04398</cdr:y>
    </cdr:from>
    <cdr:to>
      <cdr:x>0.11509</cdr:x>
      <cdr:y>0.11227</cdr:y>
    </cdr:to>
    <cdr:pic>
      <cdr:nvPicPr>
        <cdr:cNvPr id="2" name="Image 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73026" y="120650"/>
          <a:ext cx="463550" cy="187325"/>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2493</Words>
  <Characters>13717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 Eric</dc:creator>
  <cp:keywords/>
  <dc:description/>
  <cp:lastModifiedBy>DOR Eric</cp:lastModifiedBy>
  <cp:revision>7</cp:revision>
  <dcterms:created xsi:type="dcterms:W3CDTF">2015-12-18T13:21:00Z</dcterms:created>
  <dcterms:modified xsi:type="dcterms:W3CDTF">2015-12-18T13:42:00Z</dcterms:modified>
</cp:coreProperties>
</file>